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72F8E" w14:textId="1B620C1C" w:rsidR="000F082B" w:rsidRDefault="002659A2" w:rsidP="000F082B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85AE4">
        <w:rPr>
          <w:rFonts w:ascii="Times New Roman" w:eastAsiaTheme="majorEastAsia" w:hAnsi="Times New Roman" w:cs="Times New Roman" w:hint="eastAsia"/>
          <w:b/>
          <w:sz w:val="24"/>
          <w:szCs w:val="24"/>
        </w:rPr>
        <w:t>F</w:t>
      </w:r>
      <w:r w:rsidRPr="00E85AE4">
        <w:rPr>
          <w:rFonts w:ascii="Times New Roman" w:eastAsiaTheme="majorEastAsia" w:hAnsi="Times New Roman" w:cs="Times New Roman"/>
          <w:b/>
          <w:sz w:val="24"/>
          <w:szCs w:val="24"/>
        </w:rPr>
        <w:t>igure S1.</w:t>
      </w:r>
      <w:r w:rsidRPr="003622A2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>(A)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 xml:space="preserve"> The expression of DPP3 in CRC cell lines was accessed by</w:t>
      </w:r>
      <w:r w:rsidR="005A1A8D" w:rsidRPr="005A1A8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>qPCR.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 xml:space="preserve"> (B) The knockdown efficiencies of 3 shRNAs designed for DPP3 knockdown were evaluated by qPCR. </w:t>
      </w:r>
      <w:bookmarkStart w:id="0" w:name="_Hlk65158734"/>
      <w:r w:rsidR="003622A2">
        <w:rPr>
          <w:rFonts w:ascii="Times New Roman" w:eastAsiaTheme="majorEastAsia" w:hAnsi="Times New Roman" w:cs="Times New Roman"/>
          <w:sz w:val="24"/>
          <w:szCs w:val="24"/>
        </w:rPr>
        <w:t>(C)</w:t>
      </w:r>
      <w:bookmarkEnd w:id="0"/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The transfection efficiencies of sh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>DPP3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and shCtrl in </w:t>
      </w:r>
      <w:r w:rsidR="002D4332">
        <w:rPr>
          <w:rFonts w:ascii="Times New Roman" w:eastAsiaTheme="majorEastAsia" w:hAnsi="Times New Roman" w:cs="Times New Roman"/>
          <w:sz w:val="24"/>
          <w:szCs w:val="24"/>
        </w:rPr>
        <w:t>RKO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and </w:t>
      </w:r>
      <w:r w:rsidR="002D4332">
        <w:rPr>
          <w:rFonts w:ascii="Times New Roman" w:eastAsiaTheme="majorEastAsia" w:hAnsi="Times New Roman" w:cs="Times New Roman"/>
          <w:sz w:val="24"/>
          <w:szCs w:val="24"/>
        </w:rPr>
        <w:t>HCT116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cells were evaluated through observing the fluorescence of GFP on lentivirus vector. </w:t>
      </w:r>
      <w:r w:rsidRPr="002659A2">
        <w:rPr>
          <w:rFonts w:ascii="Times New Roman" w:eastAsiaTheme="majorEastAsia" w:hAnsi="Times New Roman" w:cs="Times New Roman"/>
          <w:sz w:val="24"/>
          <w:szCs w:val="24"/>
        </w:rPr>
        <w:t>The knockdown efficiency of DPP3 in RKO and HCT 116 cells was assessed by qPCR (</w:t>
      </w:r>
      <w:r>
        <w:rPr>
          <w:rFonts w:ascii="Times New Roman" w:eastAsiaTheme="majorEastAsia" w:hAnsi="Times New Roman" w:cs="Times New Roman"/>
          <w:sz w:val="24"/>
          <w:szCs w:val="24"/>
        </w:rPr>
        <w:t>D</w:t>
      </w:r>
      <w:r w:rsidRPr="002659A2">
        <w:rPr>
          <w:rFonts w:ascii="Times New Roman" w:eastAsiaTheme="majorEastAsia" w:hAnsi="Times New Roman" w:cs="Times New Roman"/>
          <w:sz w:val="24"/>
          <w:szCs w:val="24"/>
        </w:rPr>
        <w:t>) and WB (</w:t>
      </w:r>
      <w:r>
        <w:rPr>
          <w:rFonts w:ascii="Times New Roman" w:eastAsiaTheme="majorEastAsia" w:hAnsi="Times New Roman" w:cs="Times New Roman"/>
          <w:sz w:val="24"/>
          <w:szCs w:val="24"/>
        </w:rPr>
        <w:t>E</w:t>
      </w:r>
      <w:r w:rsidRPr="002659A2">
        <w:rPr>
          <w:rFonts w:ascii="Times New Roman" w:eastAsiaTheme="majorEastAsia" w:hAnsi="Times New Roman" w:cs="Times New Roman"/>
          <w:sz w:val="24"/>
          <w:szCs w:val="24"/>
        </w:rPr>
        <w:t>).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 xml:space="preserve">Data was shown as mean </w:t>
      </w:r>
      <w:r w:rsidR="003622A2" w:rsidRPr="00BE2AA8">
        <w:rPr>
          <w:rFonts w:ascii="Times New Roman" w:eastAsiaTheme="majorEastAsia" w:hAnsi="Times New Roman" w:cs="Times New Roman"/>
          <w:sz w:val="24"/>
          <w:szCs w:val="24"/>
        </w:rPr>
        <w:t>±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 xml:space="preserve"> SD. *</w:t>
      </w:r>
      <w:r w:rsidR="003622A2" w:rsidRPr="00BE2AA8">
        <w:rPr>
          <w:rFonts w:ascii="Times New Roman" w:eastAsiaTheme="majorEastAsia" w:hAnsi="Times New Roman" w:cs="Times New Roman"/>
          <w:i/>
          <w:sz w:val="24"/>
          <w:szCs w:val="24"/>
        </w:rPr>
        <w:t>P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 xml:space="preserve"> &lt; 0.05, **</w:t>
      </w:r>
      <w:r w:rsidR="003622A2" w:rsidRPr="00BE2AA8">
        <w:rPr>
          <w:rFonts w:ascii="Times New Roman" w:eastAsiaTheme="majorEastAsia" w:hAnsi="Times New Roman" w:cs="Times New Roman"/>
          <w:i/>
          <w:sz w:val="24"/>
          <w:szCs w:val="24"/>
        </w:rPr>
        <w:t>P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 xml:space="preserve"> &lt; 0.01</w:t>
      </w:r>
    </w:p>
    <w:p w14:paraId="1C761E25" w14:textId="78019A29" w:rsidR="00304ED4" w:rsidRDefault="002D4332" w:rsidP="000F082B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2D4332">
        <w:rPr>
          <w:rFonts w:ascii="Times New Roman" w:eastAsiaTheme="majorEastAsia" w:hAnsi="Times New Roman" w:cs="Times New Roman"/>
          <w:b/>
          <w:sz w:val="24"/>
          <w:szCs w:val="24"/>
        </w:rPr>
        <w:t>Figure S2.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>Another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 xml:space="preserve"> shRNA targeting DDP3 cell was successfully constructed</w:t>
      </w:r>
      <w:r w:rsidR="00304ED4">
        <w:rPr>
          <w:rFonts w:ascii="Times New Roman" w:eastAsiaTheme="majorEastAsia" w:hAnsi="Times New Roman" w:cs="Times New Roman"/>
          <w:sz w:val="24"/>
          <w:szCs w:val="24"/>
        </w:rPr>
        <w:t xml:space="preserve"> and</w:t>
      </w:r>
      <w:r w:rsidR="00304ED4" w:rsidRPr="00304ED4">
        <w:t xml:space="preserve"> 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>subjected to the</w:t>
      </w:r>
      <w:r w:rsidR="00304ED4">
        <w:rPr>
          <w:rFonts w:ascii="Times New Roman" w:eastAsiaTheme="majorEastAsia" w:hAnsi="Times New Roman" w:cs="Times New Roman"/>
          <w:sz w:val="24"/>
          <w:szCs w:val="24"/>
        </w:rPr>
        <w:t xml:space="preserve"> detection of t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 xml:space="preserve">ransfection 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>efficiency</w:t>
      </w:r>
      <w:r w:rsidR="00304ED4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 xml:space="preserve">(A) </w:t>
      </w:r>
      <w:r w:rsidR="00304ED4">
        <w:rPr>
          <w:rFonts w:ascii="Times New Roman" w:eastAsiaTheme="majorEastAsia" w:hAnsi="Times New Roman" w:cs="Times New Roman"/>
          <w:sz w:val="24"/>
          <w:szCs w:val="24"/>
        </w:rPr>
        <w:t xml:space="preserve">and </w:t>
      </w:r>
      <w:r w:rsidR="00304ED4" w:rsidRPr="00304ED4">
        <w:rPr>
          <w:rFonts w:ascii="Times New Roman" w:eastAsiaTheme="majorEastAsia" w:hAnsi="Times New Roman" w:cs="Times New Roman"/>
          <w:sz w:val="24"/>
          <w:szCs w:val="24"/>
        </w:rPr>
        <w:t>knockdown efficiency</w:t>
      </w:r>
      <w:r w:rsidR="007C0710" w:rsidRPr="007C0710">
        <w:t xml:space="preserve"> 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>(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 xml:space="preserve">B, 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>C)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0710" w:rsidRPr="007C0710">
        <w:rPr>
          <w:rFonts w:ascii="Times New Roman" w:eastAsiaTheme="majorEastAsia" w:hAnsi="Times New Roman" w:cs="Times New Roman"/>
          <w:sz w:val="24"/>
          <w:szCs w:val="24"/>
        </w:rPr>
        <w:t>in RKO and HCT 116 cells</w:t>
      </w:r>
      <w:r w:rsidR="007C0710">
        <w:rPr>
          <w:rFonts w:ascii="Times New Roman" w:eastAsiaTheme="majorEastAsia" w:hAnsi="Times New Roman" w:cs="Times New Roman"/>
          <w:sz w:val="24"/>
          <w:szCs w:val="24"/>
        </w:rPr>
        <w:t>.</w:t>
      </w:r>
      <w:r w:rsidR="007C0710" w:rsidRPr="007C0710">
        <w:t xml:space="preserve"> </w:t>
      </w:r>
      <w:r w:rsidR="007C0710" w:rsidRPr="007C0710">
        <w:rPr>
          <w:rFonts w:ascii="Times New Roman" w:eastAsiaTheme="majorEastAsia" w:hAnsi="Times New Roman" w:cs="Times New Roman"/>
          <w:sz w:val="24"/>
          <w:szCs w:val="24"/>
        </w:rPr>
        <w:t>Data was shown as mean ± SD. *P &lt; 0.05, **P &lt; 0.01</w:t>
      </w:r>
    </w:p>
    <w:p w14:paraId="5CC6D638" w14:textId="76D94265" w:rsidR="007C0710" w:rsidRDefault="007C0710" w:rsidP="000F082B">
      <w:pPr>
        <w:spacing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85AE4">
        <w:rPr>
          <w:rFonts w:ascii="Times New Roman" w:eastAsiaTheme="majorEastAsia" w:hAnsi="Times New Roman" w:cs="Times New Roman"/>
          <w:b/>
          <w:sz w:val="24"/>
          <w:szCs w:val="24"/>
        </w:rPr>
        <w:t>Figure S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3</w:t>
      </w:r>
      <w:r w:rsidRPr="00E85AE4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shRNA targeting DDP3 cell was successfully constructed and subjected to the detection of</w:t>
      </w:r>
      <w:r w:rsidRPr="007C0710">
        <w:t xml:space="preserve"> 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>proliferation (A), cell apoptosis (B)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and 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>migration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>(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C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D</w:t>
      </w:r>
      <w:r w:rsidRPr="007C0710">
        <w:rPr>
          <w:rFonts w:ascii="Times New Roman" w:eastAsiaTheme="majorEastAsia" w:hAnsi="Times New Roman" w:cs="Times New Roman"/>
          <w:bCs/>
          <w:sz w:val="24"/>
          <w:szCs w:val="24"/>
        </w:rPr>
        <w:t>)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  <w:r w:rsidR="00D5725B" w:rsidRPr="00D5725B">
        <w:t xml:space="preserve"> </w:t>
      </w:r>
      <w:r w:rsidR="00D5725B" w:rsidRPr="00D5725B">
        <w:rPr>
          <w:rFonts w:ascii="Times New Roman" w:eastAsiaTheme="majorEastAsia" w:hAnsi="Times New Roman" w:cs="Times New Roman"/>
          <w:bCs/>
          <w:sz w:val="24"/>
          <w:szCs w:val="24"/>
        </w:rPr>
        <w:t>The representative images were selected from at least 3 independent experiments. Data was shown as mean ± SD. *P &lt; 0.05, **P &lt; 0.01, ***P &lt; 0.001</w:t>
      </w:r>
    </w:p>
    <w:p w14:paraId="70D853BE" w14:textId="38E900CB" w:rsidR="000F082B" w:rsidRPr="00D5725B" w:rsidRDefault="00D5725B" w:rsidP="000F082B">
      <w:pPr>
        <w:spacing w:line="36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2D4332">
        <w:rPr>
          <w:rFonts w:ascii="Times New Roman" w:eastAsiaTheme="majorEastAsia" w:hAnsi="Times New Roman" w:cs="Times New Roman"/>
          <w:b/>
          <w:sz w:val="24"/>
          <w:szCs w:val="24"/>
        </w:rPr>
        <w:t>Figure S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4</w:t>
      </w:r>
      <w:r w:rsidRPr="002D4332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ajorEastAsia" w:hAnsi="Times New Roman" w:cs="Times New Roman" w:hint="eastAsia"/>
          <w:bCs/>
          <w:sz w:val="24"/>
          <w:szCs w:val="24"/>
        </w:rPr>
        <w:t xml:space="preserve"> </w:t>
      </w:r>
      <w:r w:rsidR="00187C92">
        <w:rPr>
          <w:rFonts w:ascii="Times New Roman" w:eastAsiaTheme="majorEastAsia" w:hAnsi="Times New Roman" w:cs="Times New Roman"/>
          <w:sz w:val="24"/>
          <w:szCs w:val="24"/>
        </w:rPr>
        <w:t xml:space="preserve">(A) 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The volcano plot of gene expression profiling in </w:t>
      </w:r>
      <w:r w:rsidR="002D4332">
        <w:rPr>
          <w:rFonts w:ascii="Times New Roman" w:eastAsiaTheme="majorEastAsia" w:hAnsi="Times New Roman" w:cs="Times New Roman"/>
          <w:sz w:val="24"/>
          <w:szCs w:val="24"/>
        </w:rPr>
        <w:t>HCT116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cells with or without 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>DPP3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 knockdown. </w:t>
      </w:r>
      <w:r w:rsidR="00187C92">
        <w:rPr>
          <w:rFonts w:ascii="Times New Roman" w:eastAsiaTheme="majorEastAsia" w:hAnsi="Times New Roman" w:cs="Times New Roman"/>
          <w:sz w:val="24"/>
          <w:szCs w:val="24"/>
        </w:rPr>
        <w:t xml:space="preserve">Red dots represented significantly upregulated DEGs. Blue dots represented significantly downregulated DEGs. (B) 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 xml:space="preserve">The enrichment of the DEGs in canonical signaling pathways was analyzed by IPA. </w:t>
      </w:r>
      <w:r w:rsidR="00187C92">
        <w:rPr>
          <w:rFonts w:ascii="Times New Roman" w:eastAsiaTheme="majorEastAsia" w:hAnsi="Times New Roman" w:cs="Times New Roman"/>
          <w:sz w:val="24"/>
          <w:szCs w:val="24"/>
        </w:rPr>
        <w:t xml:space="preserve">(C) </w:t>
      </w:r>
      <w:r w:rsidR="000F082B">
        <w:rPr>
          <w:rFonts w:ascii="Times New Roman" w:eastAsiaTheme="majorEastAsia" w:hAnsi="Times New Roman" w:cs="Times New Roman"/>
          <w:sz w:val="24"/>
          <w:szCs w:val="24"/>
        </w:rPr>
        <w:t>The enrichment of the DEGs in IPA disease and function was analyzed by IPA.</w:t>
      </w:r>
      <w:r w:rsidR="003622A2" w:rsidRPr="003622A2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932FAD">
        <w:rPr>
          <w:rFonts w:ascii="Times New Roman" w:eastAsiaTheme="majorEastAsia" w:hAnsi="Times New Roman" w:cs="Times New Roman" w:hint="eastAsia"/>
          <w:sz w:val="24"/>
          <w:szCs w:val="24"/>
        </w:rPr>
        <w:t>(</w:t>
      </w:r>
      <w:r w:rsidR="00932FAD">
        <w:rPr>
          <w:rFonts w:ascii="Times New Roman" w:eastAsiaTheme="majorEastAsia" w:hAnsi="Times New Roman" w:cs="Times New Roman"/>
          <w:sz w:val="24"/>
          <w:szCs w:val="24"/>
        </w:rPr>
        <w:t xml:space="preserve">D) </w:t>
      </w:r>
      <w:r w:rsidR="006F2DAE">
        <w:rPr>
          <w:rFonts w:ascii="Times New Roman" w:eastAsiaTheme="majorEastAsia" w:hAnsi="Times New Roman" w:cs="Times New Roman"/>
          <w:sz w:val="24"/>
          <w:szCs w:val="24"/>
        </w:rPr>
        <w:t>A</w:t>
      </w:r>
      <w:r w:rsidR="006F2DAE" w:rsidRPr="006F2DAE">
        <w:rPr>
          <w:rFonts w:ascii="Times New Roman" w:eastAsiaTheme="majorEastAsia" w:hAnsi="Times New Roman" w:cs="Times New Roman"/>
          <w:sz w:val="24"/>
          <w:szCs w:val="24"/>
        </w:rPr>
        <w:t>ll bioinformatics and IPA DPP3-related interaction networks</w:t>
      </w:r>
      <w:r w:rsidR="003622A2">
        <w:rPr>
          <w:rFonts w:ascii="Times New Roman" w:eastAsiaTheme="majorEastAsia" w:hAnsi="Times New Roman" w:cs="Times New Roman"/>
          <w:sz w:val="24"/>
          <w:szCs w:val="24"/>
        </w:rPr>
        <w:t>.</w:t>
      </w:r>
      <w:r w:rsidRPr="00D5725B">
        <w:t xml:space="preserve"> </w:t>
      </w:r>
      <w:r w:rsidRPr="00D5725B">
        <w:rPr>
          <w:rFonts w:ascii="Times New Roman" w:eastAsiaTheme="majorEastAsia" w:hAnsi="Times New Roman" w:cs="Times New Roman"/>
          <w:sz w:val="24"/>
          <w:szCs w:val="24"/>
        </w:rPr>
        <w:t>Data was shown as mean ± SD. *P &lt; 0.05, **P &lt; 0.01, ***P &lt; 0.001</w:t>
      </w:r>
    </w:p>
    <w:p w14:paraId="5B9615C0" w14:textId="2E5C5ED9" w:rsidR="006C30E4" w:rsidRDefault="003622A2" w:rsidP="006C30E4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E85AE4">
        <w:rPr>
          <w:rFonts w:ascii="Times New Roman" w:eastAsiaTheme="majorEastAsia" w:hAnsi="Times New Roman" w:cs="Times New Roman"/>
          <w:b/>
          <w:sz w:val="24"/>
          <w:szCs w:val="24"/>
        </w:rPr>
        <w:t>Figure S</w:t>
      </w:r>
      <w:r w:rsidR="00D5725B">
        <w:rPr>
          <w:rFonts w:ascii="Times New Roman" w:eastAsiaTheme="majorEastAsia" w:hAnsi="Times New Roman" w:cs="Times New Roman"/>
          <w:b/>
          <w:sz w:val="24"/>
          <w:szCs w:val="24"/>
        </w:rPr>
        <w:t>5</w:t>
      </w:r>
      <w:r w:rsidRPr="00E85AE4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>(A) The expression of CDK1 in CRC cell lines was accessed by</w:t>
      </w:r>
      <w:r w:rsidR="005A1A8D" w:rsidRPr="005A1A8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>qPCR.</w:t>
      </w:r>
      <w:r w:rsidR="005A1A8D"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="006C30E4">
        <w:rPr>
          <w:rFonts w:ascii="Times New Roman" w:eastAsiaTheme="majorEastAsia" w:hAnsi="Times New Roman" w:cs="Times New Roman"/>
          <w:sz w:val="24"/>
          <w:szCs w:val="24"/>
        </w:rPr>
        <w:t xml:space="preserve">(B) The knockdown efficiencies of 3 shRNAs designed for </w:t>
      </w:r>
      <w:r w:rsidR="002D4332">
        <w:rPr>
          <w:rFonts w:ascii="Times New Roman" w:eastAsiaTheme="majorEastAsia" w:hAnsi="Times New Roman" w:cs="Times New Roman"/>
          <w:sz w:val="24"/>
          <w:szCs w:val="24"/>
        </w:rPr>
        <w:t>CDK1</w:t>
      </w:r>
      <w:r w:rsidR="006C30E4">
        <w:rPr>
          <w:rFonts w:ascii="Times New Roman" w:eastAsiaTheme="majorEastAsia" w:hAnsi="Times New Roman" w:cs="Times New Roman"/>
          <w:sz w:val="24"/>
          <w:szCs w:val="24"/>
        </w:rPr>
        <w:t xml:space="preserve"> knockdown were evaluated by qPCR.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(C) The transfection efficiencies of shCtrl, shCDK1, shCDK1+ shDPP3 in HCT 116 cells were evaluated through observing the fluorescence of GFP on lentivirus vector. 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>(D</w:t>
      </w:r>
      <w:r w:rsidR="00B5623D">
        <w:rPr>
          <w:rFonts w:ascii="Times New Roman" w:eastAsiaTheme="majorEastAsia" w:hAnsi="Times New Roman" w:cs="Times New Roman"/>
          <w:sz w:val="24"/>
          <w:szCs w:val="24"/>
        </w:rPr>
        <w:t>, E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>)</w:t>
      </w:r>
      <w:r w:rsidR="005A1A8D" w:rsidRPr="005A1A8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 xml:space="preserve">The knockdown efficiencies of CDK1 </w:t>
      </w:r>
      <w:r w:rsidR="00D5725B">
        <w:rPr>
          <w:rFonts w:ascii="Times New Roman" w:eastAsiaTheme="majorEastAsia" w:hAnsi="Times New Roman" w:cs="Times New Roman"/>
          <w:sz w:val="24"/>
          <w:szCs w:val="24"/>
        </w:rPr>
        <w:t>were</w:t>
      </w:r>
      <w:r w:rsidR="005A1A8D">
        <w:rPr>
          <w:rFonts w:ascii="Times New Roman" w:eastAsiaTheme="majorEastAsia" w:hAnsi="Times New Roman" w:cs="Times New Roman"/>
          <w:sz w:val="24"/>
          <w:szCs w:val="24"/>
        </w:rPr>
        <w:t xml:space="preserve"> evaluated by qPCR</w:t>
      </w:r>
      <w:r w:rsidR="00B5623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B5623D">
        <w:rPr>
          <w:rFonts w:ascii="Times New Roman" w:eastAsiaTheme="majorEastAsia" w:hAnsi="Times New Roman" w:cs="Times New Roman" w:hint="eastAsia"/>
          <w:sz w:val="24"/>
          <w:szCs w:val="24"/>
        </w:rPr>
        <w:t>(</w:t>
      </w:r>
      <w:r w:rsidR="00B5623D">
        <w:rPr>
          <w:rFonts w:ascii="Times New Roman" w:eastAsiaTheme="majorEastAsia" w:hAnsi="Times New Roman" w:cs="Times New Roman"/>
          <w:sz w:val="24"/>
          <w:szCs w:val="24"/>
        </w:rPr>
        <w:t>D)</w:t>
      </w:r>
      <w:r w:rsidR="00B5623D">
        <w:t xml:space="preserve"> </w:t>
      </w:r>
      <w:r w:rsidR="00B5623D" w:rsidRPr="00B5623D">
        <w:rPr>
          <w:rFonts w:ascii="Times New Roman" w:eastAsiaTheme="majorEastAsia" w:hAnsi="Times New Roman" w:cs="Times New Roman"/>
          <w:sz w:val="24"/>
          <w:szCs w:val="24"/>
        </w:rPr>
        <w:t xml:space="preserve">and WB (E). </w:t>
      </w:r>
      <w:r w:rsidR="00B5623D">
        <w:rPr>
          <w:rFonts w:ascii="Times New Roman" w:eastAsiaTheme="majorEastAsia" w:hAnsi="Times New Roman" w:cs="Times New Roman"/>
          <w:sz w:val="24"/>
          <w:szCs w:val="24"/>
        </w:rPr>
        <w:t>(F)</w:t>
      </w:r>
      <w:r w:rsidR="00D5725B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The 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>trans</w:t>
      </w:r>
      <w:r w:rsidR="0065515A" w:rsidRPr="0065515A">
        <w:rPr>
          <w:rFonts w:ascii="Times New Roman" w:eastAsiaTheme="majorEastAsia" w:hAnsi="Times New Roman" w:cs="Times New Roman"/>
          <w:sz w:val="24"/>
          <w:szCs w:val="24"/>
        </w:rPr>
        <w:t>fection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 efficienc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>y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 of NC(OE+KD), CDK1+NC-sh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, 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+NC-CDK1 and CDK1+sh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 in 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>HCT116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cells were evaluated through observing the fluorescence of GFP on lentivirus vector. (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>G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) The 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 xml:space="preserve">protein 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expression of CDK1 and 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 of NC(OE+KD), CDK1+NC-sh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, 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+NC-CDK1 and CDK1+sh</w:t>
      </w:r>
      <w:r w:rsidR="0065515A">
        <w:rPr>
          <w:rFonts w:ascii="Times New Roman" w:eastAsiaTheme="majorEastAsia" w:hAnsi="Times New Roman" w:cs="Times New Roman" w:hint="eastAsia"/>
          <w:sz w:val="24"/>
          <w:szCs w:val="24"/>
        </w:rPr>
        <w:t>DPP3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 xml:space="preserve"> was evaluated in </w:t>
      </w:r>
      <w:r w:rsidR="0065515A" w:rsidRPr="0065515A">
        <w:rPr>
          <w:rFonts w:ascii="Times New Roman" w:eastAsiaTheme="majorEastAsia" w:hAnsi="Times New Roman" w:cs="Times New Roman"/>
          <w:sz w:val="24"/>
          <w:szCs w:val="24"/>
        </w:rPr>
        <w:t>HCT116</w:t>
      </w:r>
      <w:r w:rsidR="0065515A" w:rsidRPr="0065515A">
        <w:rPr>
          <w:rFonts w:ascii="Times New Roman" w:eastAsiaTheme="majorEastAsia" w:hAnsi="Times New Roman" w:cs="Times New Roman" w:hint="eastAsia"/>
          <w:sz w:val="24"/>
          <w:szCs w:val="24"/>
        </w:rPr>
        <w:t>cells by WB</w:t>
      </w:r>
      <w:r w:rsidR="0065515A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  <w:r w:rsidR="006C30E4">
        <w:rPr>
          <w:rFonts w:ascii="Times New Roman" w:eastAsiaTheme="majorEastAsia" w:hAnsi="Times New Roman" w:cs="Times New Roman"/>
          <w:sz w:val="24"/>
          <w:szCs w:val="24"/>
        </w:rPr>
        <w:t xml:space="preserve">Data was shown as mean </w:t>
      </w:r>
      <w:r w:rsidR="006C30E4" w:rsidRPr="00BE2AA8">
        <w:rPr>
          <w:rFonts w:ascii="Times New Roman" w:eastAsiaTheme="majorEastAsia" w:hAnsi="Times New Roman" w:cs="Times New Roman"/>
          <w:sz w:val="24"/>
          <w:szCs w:val="24"/>
        </w:rPr>
        <w:t>±</w:t>
      </w:r>
      <w:r w:rsidR="006C30E4">
        <w:rPr>
          <w:rFonts w:ascii="Times New Roman" w:eastAsiaTheme="majorEastAsia" w:hAnsi="Times New Roman" w:cs="Times New Roman"/>
          <w:sz w:val="24"/>
          <w:szCs w:val="24"/>
        </w:rPr>
        <w:t xml:space="preserve"> SD. ***</w:t>
      </w:r>
      <w:r w:rsidR="006C30E4" w:rsidRPr="00BE2AA8">
        <w:rPr>
          <w:rFonts w:ascii="Times New Roman" w:eastAsiaTheme="majorEastAsia" w:hAnsi="Times New Roman" w:cs="Times New Roman"/>
          <w:i/>
          <w:sz w:val="24"/>
          <w:szCs w:val="24"/>
        </w:rPr>
        <w:t>P</w:t>
      </w:r>
      <w:r w:rsidR="006C30E4">
        <w:rPr>
          <w:rFonts w:ascii="Times New Roman" w:eastAsiaTheme="majorEastAsia" w:hAnsi="Times New Roman" w:cs="Times New Roman"/>
          <w:sz w:val="24"/>
          <w:szCs w:val="24"/>
        </w:rPr>
        <w:t xml:space="preserve"> &lt; 0.001</w:t>
      </w:r>
    </w:p>
    <w:p w14:paraId="0CAE9EEE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2213C8CF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6C0B7773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0EF27735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06D3EC9F" w14:textId="77777777" w:rsidR="00D2696B" w:rsidRPr="00520925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sectPr w:rsidR="00D2696B" w:rsidRPr="00520925" w:rsidSect="00330F7C">
      <w:pgSz w:w="11906" w:h="16838"/>
      <w:pgMar w:top="158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25C93" w14:textId="77777777" w:rsidR="006734BE" w:rsidRDefault="006734BE" w:rsidP="00086447">
      <w:r>
        <w:separator/>
      </w:r>
    </w:p>
  </w:endnote>
  <w:endnote w:type="continuationSeparator" w:id="0">
    <w:p w14:paraId="5451D847" w14:textId="77777777" w:rsidR="006734BE" w:rsidRDefault="006734BE" w:rsidP="0008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A4924" w14:textId="77777777" w:rsidR="006734BE" w:rsidRDefault="006734BE" w:rsidP="00086447">
      <w:r>
        <w:separator/>
      </w:r>
    </w:p>
  </w:footnote>
  <w:footnote w:type="continuationSeparator" w:id="0">
    <w:p w14:paraId="033B0FA4" w14:textId="77777777" w:rsidR="006734BE" w:rsidRDefault="006734BE" w:rsidP="0008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F0990"/>
    <w:multiLevelType w:val="hybridMultilevel"/>
    <w:tmpl w:val="08FCE658"/>
    <w:lvl w:ilvl="0" w:tplc="83220F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NE.Ref{5FF354C8-CDF6-4DCF-820D-95263DB707AE}" w:val=" ADDIN NE.Ref.{5FF354C8-CDF6-4DCF-820D-95263DB707AE}&lt;Citation&gt;&lt;Group&gt;&lt;References&gt;&lt;Item&gt;&lt;ID&gt;4280&lt;/ID&gt;&lt;UID&gt;{F80764EC-E596-4B66-8F48-59D32FC0C053}&lt;/UID&gt;&lt;Title&gt;Combination of necroptosis and apoptosis inhibition enhances cardioprotection against myocardial ischemia–reperfusion injury&lt;/Title&gt;&lt;Template&gt;Journal Article&lt;/Template&gt;&lt;Star&gt;1&lt;/Star&gt;&lt;Tag&gt;0&lt;/Tag&gt;&lt;Author&gt;Koshinuma, Shizuka; Miyamae, Masami; Kaneda, Kazuhiro; Kotani, Junichiro; Figueredo, Vincent M&lt;/Author&gt;&lt;Year&gt;2013&lt;/Year&gt;&lt;Details&gt;&lt;_date_display&gt;2013&lt;/_date_display&gt;&lt;_date&gt;2013-01-01&lt;/_date&gt;&lt;_issue&gt;2&lt;/_issue&gt;&lt;_journal&gt;Journal of Anesthesia&lt;/_journal&gt;&lt;_pages&gt;235-241&lt;/_pages&gt;&lt;_volume&gt;28&lt;/_volume&gt;&lt;_created&gt;62820581&lt;/_created&gt;&lt;_modified&gt;62820581&lt;/_modified&gt;&lt;_impact_factor&gt;   1.454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.Ref{9D157367-A3B8-4B2E-8D91-9EAD9251450F}" w:val=" ADDIN NE.Ref.{9D157367-A3B8-4B2E-8D91-9EAD9251450F}&lt;Citation&gt;&lt;Group&gt;&lt;References&gt;&lt;Item&gt;&lt;ID&gt;4279&lt;/ID&gt;&lt;UID&gt;{1CE25CA4-6054-4326-BA0A-C2B062AC8459}&lt;/UID&gt;&lt;Title&gt;Endoplasmic reticulum stress-induced apoptosis: A possible role in myocardial ischemia-reperfusion injury&lt;/Title&gt;&lt;Template&gt;Journal Article&lt;/Template&gt;&lt;Star&gt;1&lt;/Star&gt;&lt;Tag&gt;0&lt;/Tag&gt;&lt;Author&gt;Wu, H; Ye, M; Yang, J; Ding, J&lt;/Author&gt;&lt;Year&gt;2016&lt;/Year&gt;&lt;Details&gt;&lt;_date_display&gt;2016&lt;/_date_display&gt;&lt;_date&gt;2016-01-01&lt;/_date&gt;&lt;_journal&gt;International Journal of Cardiology&lt;/_journal&gt;&lt;_pages&gt;65-66&lt;/_pages&gt;&lt;_volume&gt;208&lt;/_volume&gt;&lt;_created&gt;62820580&lt;/_created&gt;&lt;_modified&gt;62820580&lt;/_modified&gt;&lt;_impact_factor&gt;   4.034&lt;/_impact_factor&gt;&lt;_collection_scope&gt;SCI;SCIE&lt;/_collection_scope&gt;&lt;/Details&gt;&lt;Extra&gt;&lt;DBUID&gt;{FC0B0B99-27A3-4EF6-B8D3-8EDA779DB63A}&lt;/DBUID&gt;&lt;/Extra&gt;&lt;/Item&gt;&lt;/References&gt;&lt;/Group&gt;&lt;/Citation&gt;_x000a_"/>
    <w:docVar w:name="NE.Ref{BE9E6518-7763-4411-9BD6-3593CACF6DAE}" w:val=" ADDIN NE.Ref.{BE9E6518-7763-4411-9BD6-3593CACF6DAE}&lt;Citation&gt;&lt;Group&gt;&lt;References&gt;&lt;Item&gt;&lt;ID&gt;4277&lt;/ID&gt;&lt;UID&gt;{9E2DAE0D-EA7B-4EF9-ADFD-4B99E0BD4218}&lt;/UID&gt;&lt;Title&gt;Apigenin suppresses the apoptosis of H9C2 rat cardiomyocytes subjected to myocardial ischemia鈥憆eperfusion injury via upregulation of the PI3K/Akt pathway&lt;/Title&gt;&lt;Template&gt;Journal Article&lt;/Template&gt;&lt;Star&gt;1&lt;/Star&gt;&lt;Tag&gt;0&lt;/Tag&gt;&lt;Author&gt;Zhou, Zhengwen; Zhang, Yue; Lin, Luning; Zhou, Jianmei&lt;/Author&gt;&lt;Year&gt;2018&lt;/Year&gt;&lt;Details&gt;&lt;_alternate_title&gt;Molecular medicine reports&lt;/_alternate_title&gt;&lt;_author_adr&gt;Department of Electrocardiogram Diagnosis, Zhejiang Hospital, Hangzhou, Zhejiang 310013, P.R. China.&lt;/_author_adr&gt;&lt;_date_display&gt;2018&lt;/_date_display&gt;&lt;_date&gt;2018-01-01&lt;/_date&gt;&lt;_doi&gt;10.3892/mmr.2018.9115&lt;/_doi&gt;&lt;_isbn&gt;1791-2997&lt;/_isbn&gt;&lt;_issue&gt;2&lt;/_issue&gt;&lt;_journal&gt;Molecular medicine reports&lt;/_journal&gt;&lt;_pages&gt;1560-1570&lt;/_pages&gt;&lt;_url&gt;http://europepmc.org/abstract/MED/29901074_x000d__x000a_http://europepmc.org/articles/PMC6072196?pdf=render_x000d__x000a_http://europepmc.org/articles/PMC6072196_x000d__x000a_https://doi.org/10.3892/mmr.2018.9115&lt;/_url&gt;&lt;_volume&gt;18&lt;/_volume&gt;&lt;_created&gt;62820574&lt;/_created&gt;&lt;_modified&gt;62820574&lt;/_modified&gt;&lt;_impact_factor&gt;   1.922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.Ref{F63CB262-ACF0-4FD4-B936-2F1BE8668AB6}" w:val=" ADDIN NE.Ref.{F63CB262-ACF0-4FD4-B936-2F1BE8668AB6}&lt;Citation&gt;&lt;Group&gt;&lt;References&gt;&lt;Item&gt;&lt;ID&gt;4278&lt;/ID&gt;&lt;UID&gt;{A4635524-8DC4-4C33-BEE7-66353B8C3DC6}&lt;/UID&gt;&lt;Title&gt;Osthole attenuates myocardial ischemia/reperfusion injury in rats by inhibiting apoptosis and inflammation&lt;/Title&gt;&lt;Template&gt;Journal Article&lt;/Template&gt;&lt;Star&gt;1&lt;/Star&gt;&lt;Tag&gt;0&lt;/Tag&gt;&lt;Author&gt;Wu, Jingguo; Yang, Yang; Xun, Nan; Zeng, Lijin; Li, Zhenyu; Yang, Wen; Liang, Yanbing; Ma, Zhongfu; Tang, Hao&lt;/Author&gt;&lt;Year&gt;2018&lt;/Year&gt;&lt;Details&gt;&lt;_author_adr&gt;Department of General Internal Medicine, The First Affiliated Hospital of Sun Yat-sen University Guangzhou 510080, People&amp;apos;s Republic of China.&lt;/_author_adr&gt;&lt;_date_display&gt;2018&lt;/_date_display&gt;&lt;_date&gt;2018-01-01&lt;/_date&gt;&lt;_isbn&gt;1943-8141&lt;/_isbn&gt;&lt;_issue&gt;4&lt;/_issue&gt;&lt;_journal&gt;American Journal of Translational Research&lt;/_journal&gt;&lt;_pages&gt;1109-1116&lt;/_pages&gt;&lt;_secondary_title&gt;American journal of translational research&lt;/_secondary_title&gt;&lt;_url&gt;http://europepmc.org/abstract/MED/29736204_x000d__x000a_http://europepmc.org/articles/PMC5934570?pdf=render_x000d__x000a_http://europepmc.org/articles/PMC5934570&lt;/_url&gt;&lt;_volume&gt;10&lt;/_volume&gt;&lt;_created&gt;62820576&lt;/_created&gt;&lt;_modified&gt;62820577&lt;/_modified&gt;&lt;_accessed&gt;62820576&lt;/_accessed&gt;&lt;_impact_factor&gt;   3.061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_docsoft" w:val="MSWord"/>
    <w:docVar w:name="ne_docversion" w:val="NoteExpress 2.0"/>
    <w:docVar w:name="ne_stylename" w:val="CA Cancer J Clin all author"/>
  </w:docVars>
  <w:rsids>
    <w:rsidRoot w:val="00086447"/>
    <w:rsid w:val="00037440"/>
    <w:rsid w:val="000802A2"/>
    <w:rsid w:val="00086447"/>
    <w:rsid w:val="000E046B"/>
    <w:rsid w:val="000F082B"/>
    <w:rsid w:val="001212AD"/>
    <w:rsid w:val="00187C92"/>
    <w:rsid w:val="00197DD9"/>
    <w:rsid w:val="001F3B6D"/>
    <w:rsid w:val="00233E52"/>
    <w:rsid w:val="002659A2"/>
    <w:rsid w:val="002D4332"/>
    <w:rsid w:val="002E44DE"/>
    <w:rsid w:val="00304ED4"/>
    <w:rsid w:val="00330F7C"/>
    <w:rsid w:val="003622A2"/>
    <w:rsid w:val="003A1854"/>
    <w:rsid w:val="003A7635"/>
    <w:rsid w:val="003D1799"/>
    <w:rsid w:val="003E1263"/>
    <w:rsid w:val="00400F5B"/>
    <w:rsid w:val="00465714"/>
    <w:rsid w:val="00520925"/>
    <w:rsid w:val="005A1A8D"/>
    <w:rsid w:val="005B4F99"/>
    <w:rsid w:val="005E642D"/>
    <w:rsid w:val="0065515A"/>
    <w:rsid w:val="006734BE"/>
    <w:rsid w:val="00682EC1"/>
    <w:rsid w:val="006B0125"/>
    <w:rsid w:val="006C30E4"/>
    <w:rsid w:val="006F2DAE"/>
    <w:rsid w:val="00706A4A"/>
    <w:rsid w:val="00762784"/>
    <w:rsid w:val="00776FF2"/>
    <w:rsid w:val="007A63B6"/>
    <w:rsid w:val="007B0E72"/>
    <w:rsid w:val="007C0710"/>
    <w:rsid w:val="007C1CE3"/>
    <w:rsid w:val="0085354A"/>
    <w:rsid w:val="008E5425"/>
    <w:rsid w:val="00927AB9"/>
    <w:rsid w:val="00932FAD"/>
    <w:rsid w:val="00960D1D"/>
    <w:rsid w:val="00993419"/>
    <w:rsid w:val="00995D9E"/>
    <w:rsid w:val="009C73F6"/>
    <w:rsid w:val="00A2270F"/>
    <w:rsid w:val="00A83093"/>
    <w:rsid w:val="00AA3EDC"/>
    <w:rsid w:val="00AB4C1C"/>
    <w:rsid w:val="00AF700A"/>
    <w:rsid w:val="00B5623D"/>
    <w:rsid w:val="00B75F4D"/>
    <w:rsid w:val="00B81C80"/>
    <w:rsid w:val="00BC6F3A"/>
    <w:rsid w:val="00BD0008"/>
    <w:rsid w:val="00BE2743"/>
    <w:rsid w:val="00CD125A"/>
    <w:rsid w:val="00CD2FC5"/>
    <w:rsid w:val="00D2696B"/>
    <w:rsid w:val="00D503B2"/>
    <w:rsid w:val="00D5725B"/>
    <w:rsid w:val="00D66A04"/>
    <w:rsid w:val="00E247A0"/>
    <w:rsid w:val="00E4581B"/>
    <w:rsid w:val="00E7496E"/>
    <w:rsid w:val="00EE557D"/>
    <w:rsid w:val="00F2723E"/>
    <w:rsid w:val="00F2731C"/>
    <w:rsid w:val="00F4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A2484"/>
  <w15:docId w15:val="{5AC4D199-87A2-439D-9487-5795D377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44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CD2FC5"/>
    <w:rPr>
      <w:rFonts w:ascii="Calibri" w:hAnsi="Calibri" w:cs="Calibri"/>
      <w:noProof/>
      <w:sz w:val="20"/>
      <w:szCs w:val="24"/>
    </w:rPr>
  </w:style>
  <w:style w:type="character" w:customStyle="1" w:styleId="EndNoteBibliographyChar">
    <w:name w:val="EndNote Bibliography Char"/>
    <w:basedOn w:val="a0"/>
    <w:link w:val="EndNoteBibliography"/>
    <w:rsid w:val="00CD2FC5"/>
    <w:rPr>
      <w:rFonts w:ascii="Calibri" w:hAnsi="Calibri" w:cs="Calibri"/>
      <w:noProof/>
      <w:sz w:val="20"/>
      <w:szCs w:val="24"/>
    </w:rPr>
  </w:style>
  <w:style w:type="paragraph" w:styleId="a7">
    <w:name w:val="List Paragraph"/>
    <w:basedOn w:val="a"/>
    <w:uiPriority w:val="34"/>
    <w:qFormat/>
    <w:rsid w:val="00AA3EDC"/>
    <w:pPr>
      <w:ind w:firstLineChars="200" w:firstLine="420"/>
    </w:pPr>
  </w:style>
  <w:style w:type="character" w:customStyle="1" w:styleId="apple-converted-space">
    <w:name w:val="apple-converted-space"/>
    <w:basedOn w:val="a0"/>
    <w:rsid w:val="007A63B6"/>
  </w:style>
  <w:style w:type="paragraph" w:styleId="a8">
    <w:name w:val="Normal (Web)"/>
    <w:basedOn w:val="a"/>
    <w:uiPriority w:val="99"/>
    <w:semiHidden/>
    <w:unhideWhenUsed/>
    <w:rsid w:val="00E458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dc:description>NE.Ref</dc:description>
  <cp:lastModifiedBy>ybr0051</cp:lastModifiedBy>
  <cp:revision>52</cp:revision>
  <dcterms:created xsi:type="dcterms:W3CDTF">2010-10-10T08:47:00Z</dcterms:created>
  <dcterms:modified xsi:type="dcterms:W3CDTF">2021-02-25T07:25:00Z</dcterms:modified>
</cp:coreProperties>
</file>