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E6B" w:rsidRPr="001F56BD" w:rsidRDefault="00351E6B" w:rsidP="00351E6B">
      <w:pPr>
        <w:pStyle w:val="a3"/>
        <w:rPr>
          <w:rFonts w:ascii="TimesNewRomanPSMT" w:hAnsi="TimesNewRomanPSMT" w:hint="eastAsia"/>
          <w:b/>
          <w:bCs/>
          <w:sz w:val="22"/>
          <w:szCs w:val="22"/>
        </w:rPr>
      </w:pPr>
      <w:r w:rsidRPr="001F56BD">
        <w:rPr>
          <w:rFonts w:ascii="TimesNewRomanPSMT" w:hAnsi="TimesNewRomanPSMT"/>
          <w:b/>
          <w:bCs/>
          <w:sz w:val="22"/>
          <w:szCs w:val="22"/>
        </w:rPr>
        <w:t>O</w:t>
      </w:r>
      <w:r w:rsidRPr="001F56BD">
        <w:rPr>
          <w:rFonts w:ascii="TimesNewRomanPSMT" w:hAnsi="TimesNewRomanPSMT" w:hint="eastAsia"/>
          <w:b/>
          <w:bCs/>
          <w:sz w:val="22"/>
          <w:szCs w:val="22"/>
        </w:rPr>
        <w:t>nline</w:t>
      </w:r>
      <w:r w:rsidRPr="001F56BD">
        <w:rPr>
          <w:rFonts w:ascii="TimesNewRomanPSMT" w:hAnsi="TimesNewRomanPSMT"/>
          <w:b/>
          <w:bCs/>
          <w:sz w:val="22"/>
          <w:szCs w:val="22"/>
        </w:rPr>
        <w:t xml:space="preserve"> supplementary figure legends</w:t>
      </w:r>
    </w:p>
    <w:p w:rsidR="00351E6B" w:rsidRDefault="00351E6B" w:rsidP="00351E6B">
      <w:pPr>
        <w:pStyle w:val="a3"/>
        <w:jc w:val="both"/>
        <w:rPr>
          <w:rFonts w:ascii="TimesNewRomanPSMT" w:hAnsi="TimesNewRomanPSMT" w:hint="eastAsia"/>
          <w:sz w:val="22"/>
          <w:szCs w:val="22"/>
        </w:rPr>
      </w:pPr>
      <w:r w:rsidRPr="00DE1879">
        <w:rPr>
          <w:rFonts w:ascii="TimesNewRomanPSMT" w:hAnsi="TimesNewRomanPSMT" w:hint="eastAsia"/>
          <w:sz w:val="22"/>
          <w:szCs w:val="22"/>
        </w:rPr>
        <w:t>F</w:t>
      </w:r>
      <w:r w:rsidRPr="00DE1879">
        <w:rPr>
          <w:rFonts w:ascii="TimesNewRomanPSMT" w:hAnsi="TimesNewRomanPSMT"/>
          <w:sz w:val="22"/>
          <w:szCs w:val="22"/>
        </w:rPr>
        <w:t xml:space="preserve">igure </w:t>
      </w:r>
      <w:r>
        <w:rPr>
          <w:rFonts w:ascii="TimesNewRomanPSMT" w:hAnsi="TimesNewRomanPSMT"/>
          <w:sz w:val="22"/>
          <w:szCs w:val="22"/>
        </w:rPr>
        <w:t>S</w:t>
      </w:r>
      <w:r w:rsidRPr="00DE1879">
        <w:rPr>
          <w:rFonts w:ascii="TimesNewRomanPSMT" w:hAnsi="TimesNewRomanPSMT"/>
          <w:sz w:val="22"/>
          <w:szCs w:val="22"/>
        </w:rPr>
        <w:t>1</w:t>
      </w:r>
      <w:r>
        <w:t xml:space="preserve"> </w:t>
      </w:r>
      <w:r w:rsidRPr="00C04391">
        <w:rPr>
          <w:rFonts w:ascii="TimesNewRomanPSMT" w:hAnsi="TimesNewRomanPSMT"/>
          <w:sz w:val="22"/>
          <w:szCs w:val="22"/>
        </w:rPr>
        <w:t xml:space="preserve">Monocle </w:t>
      </w:r>
      <w:proofErr w:type="spellStart"/>
      <w:r w:rsidRPr="00C04391">
        <w:rPr>
          <w:rFonts w:ascii="TimesNewRomanPSMT" w:hAnsi="TimesNewRomanPSMT"/>
          <w:sz w:val="22"/>
          <w:szCs w:val="22"/>
        </w:rPr>
        <w:t>pseudotime</w:t>
      </w:r>
      <w:proofErr w:type="spellEnd"/>
      <w:r w:rsidRPr="00C04391">
        <w:rPr>
          <w:rFonts w:ascii="TimesNewRomanPSMT" w:hAnsi="TimesNewRomanPSMT"/>
          <w:sz w:val="22"/>
          <w:szCs w:val="22"/>
        </w:rPr>
        <w:t xml:space="preserve"> trajectory showing the progression of </w:t>
      </w:r>
      <w:r>
        <w:rPr>
          <w:rFonts w:ascii="TimesNewRomanPSMT" w:hAnsi="TimesNewRomanPSMT"/>
          <w:sz w:val="22"/>
          <w:szCs w:val="22"/>
        </w:rPr>
        <w:t>healthy control chondrocytes</w:t>
      </w:r>
      <w:r w:rsidRPr="00C04391">
        <w:rPr>
          <w:rFonts w:ascii="TimesNewRomanPSMT" w:hAnsi="TimesNewRomanPSMT"/>
          <w:sz w:val="22"/>
          <w:szCs w:val="22"/>
        </w:rPr>
        <w:t xml:space="preserve">. The expression of the genes in a branch-dependent manner. Each row indicates the </w:t>
      </w:r>
      <w:proofErr w:type="spellStart"/>
      <w:r w:rsidRPr="00C04391">
        <w:rPr>
          <w:rFonts w:ascii="TimesNewRomanPSMT" w:hAnsi="TimesNewRomanPSMT"/>
          <w:sz w:val="22"/>
          <w:szCs w:val="22"/>
        </w:rPr>
        <w:t>standardised</w:t>
      </w:r>
      <w:proofErr w:type="spellEnd"/>
      <w:r w:rsidRPr="00C04391">
        <w:rPr>
          <w:rFonts w:ascii="TimesNewRomanPSMT" w:hAnsi="TimesNewRomanPSMT"/>
          <w:sz w:val="22"/>
          <w:szCs w:val="22"/>
        </w:rPr>
        <w:t xml:space="preserve"> kinetic curves of a gene. The </w:t>
      </w:r>
      <w:proofErr w:type="spellStart"/>
      <w:r w:rsidRPr="00C04391">
        <w:rPr>
          <w:rFonts w:ascii="TimesNewRomanPSMT" w:hAnsi="TimesNewRomanPSMT"/>
          <w:sz w:val="22"/>
          <w:szCs w:val="22"/>
        </w:rPr>
        <w:t>centre</w:t>
      </w:r>
      <w:proofErr w:type="spellEnd"/>
      <w:r w:rsidRPr="00C04391">
        <w:rPr>
          <w:rFonts w:ascii="TimesNewRomanPSMT" w:hAnsi="TimesNewRomanPSMT"/>
          <w:sz w:val="22"/>
          <w:szCs w:val="22"/>
        </w:rPr>
        <w:t xml:space="preserve"> of the </w:t>
      </w:r>
      <w:proofErr w:type="spellStart"/>
      <w:r w:rsidRPr="00C04391">
        <w:rPr>
          <w:rFonts w:ascii="TimesNewRomanPSMT" w:hAnsi="TimesNewRomanPSMT"/>
          <w:sz w:val="22"/>
          <w:szCs w:val="22"/>
        </w:rPr>
        <w:t>heatmap</w:t>
      </w:r>
      <w:proofErr w:type="spellEnd"/>
      <w:r w:rsidRPr="00C04391">
        <w:rPr>
          <w:rFonts w:ascii="TimesNewRomanPSMT" w:hAnsi="TimesNewRomanPSMT"/>
          <w:sz w:val="22"/>
          <w:szCs w:val="22"/>
        </w:rPr>
        <w:t xml:space="preserve"> shows the kinetic curve value at the root of the trajectory. From the </w:t>
      </w:r>
      <w:proofErr w:type="spellStart"/>
      <w:r w:rsidRPr="00C04391">
        <w:rPr>
          <w:rFonts w:ascii="TimesNewRomanPSMT" w:hAnsi="TimesNewRomanPSMT"/>
          <w:sz w:val="22"/>
          <w:szCs w:val="22"/>
        </w:rPr>
        <w:t>centre</w:t>
      </w:r>
      <w:proofErr w:type="spellEnd"/>
      <w:r w:rsidRPr="00C04391">
        <w:rPr>
          <w:rFonts w:ascii="TimesNewRomanPSMT" w:hAnsi="TimesNewRomanPSMT"/>
          <w:sz w:val="22"/>
          <w:szCs w:val="22"/>
        </w:rPr>
        <w:t xml:space="preserve"> to the left of the </w:t>
      </w:r>
      <w:proofErr w:type="spellStart"/>
      <w:r w:rsidRPr="00C04391">
        <w:rPr>
          <w:rFonts w:ascii="TimesNewRomanPSMT" w:hAnsi="TimesNewRomanPSMT"/>
          <w:sz w:val="22"/>
          <w:szCs w:val="22"/>
        </w:rPr>
        <w:t>heatmap</w:t>
      </w:r>
      <w:proofErr w:type="spellEnd"/>
      <w:r w:rsidRPr="00C04391">
        <w:rPr>
          <w:rFonts w:ascii="TimesNewRomanPSMT" w:hAnsi="TimesNewRomanPSMT"/>
          <w:sz w:val="22"/>
          <w:szCs w:val="22"/>
        </w:rPr>
        <w:t>, the kinetic curve progresses from the root along the trajectory to fate 1. Starting from the right, the curve from the root to fate 2.</w:t>
      </w:r>
    </w:p>
    <w:p w:rsidR="00351E6B" w:rsidRDefault="00351E6B" w:rsidP="00351E6B">
      <w:pPr>
        <w:pStyle w:val="a3"/>
      </w:pPr>
      <w:r w:rsidRPr="00E520B5">
        <w:rPr>
          <w:rFonts w:ascii="TimesNewRomanPSMT" w:hAnsi="TimesNewRomanPSMT" w:hint="eastAsia"/>
          <w:sz w:val="22"/>
          <w:szCs w:val="22"/>
        </w:rPr>
        <w:t>F</w:t>
      </w:r>
      <w:r w:rsidRPr="00E520B5">
        <w:rPr>
          <w:rFonts w:ascii="TimesNewRomanPSMT" w:hAnsi="TimesNewRomanPSMT"/>
          <w:sz w:val="22"/>
          <w:szCs w:val="22"/>
        </w:rPr>
        <w:t xml:space="preserve">igure </w:t>
      </w:r>
      <w:r>
        <w:rPr>
          <w:rFonts w:ascii="TimesNewRomanPSMT" w:hAnsi="TimesNewRomanPSMT"/>
          <w:sz w:val="22"/>
          <w:szCs w:val="22"/>
        </w:rPr>
        <w:t>S</w:t>
      </w:r>
      <w:r w:rsidRPr="00E520B5">
        <w:rPr>
          <w:rFonts w:ascii="TimesNewRomanPSMT" w:hAnsi="TimesNewRomanPSMT"/>
          <w:sz w:val="22"/>
          <w:szCs w:val="22"/>
        </w:rPr>
        <w:t xml:space="preserve">2 </w:t>
      </w:r>
      <w:r>
        <w:rPr>
          <w:rFonts w:ascii="TimesNewRomanPSMT" w:hAnsi="TimesNewRomanPSMT"/>
          <w:sz w:val="22"/>
          <w:szCs w:val="22"/>
        </w:rPr>
        <w:t xml:space="preserve">Violin plots of gene expression of chondrocyte markers in different cell clusters with cells separated by disease status. </w:t>
      </w:r>
    </w:p>
    <w:p w:rsidR="00527C3D" w:rsidRDefault="00527C3D" w:rsidP="00527C3D">
      <w:pPr>
        <w:pStyle w:val="a3"/>
        <w:rPr>
          <w:rFonts w:ascii="TimesNewRomanPSMT" w:hAnsi="TimesNewRomanPSMT" w:hint="eastAsia"/>
          <w:sz w:val="22"/>
          <w:szCs w:val="22"/>
        </w:rPr>
      </w:pPr>
      <w:r w:rsidRPr="00C02934">
        <w:rPr>
          <w:rFonts w:ascii="TimesNewRomanPSMT" w:hAnsi="TimesNewRomanPSMT" w:hint="eastAsia"/>
          <w:sz w:val="22"/>
          <w:szCs w:val="22"/>
        </w:rPr>
        <w:t>Figure</w:t>
      </w:r>
      <w:r w:rsidRPr="00C02934">
        <w:rPr>
          <w:rFonts w:ascii="TimesNewRomanPSMT" w:hAnsi="TimesNewRomanPSMT"/>
          <w:sz w:val="22"/>
          <w:szCs w:val="22"/>
        </w:rPr>
        <w:t xml:space="preserve"> </w:t>
      </w:r>
      <w:r>
        <w:rPr>
          <w:rFonts w:ascii="TimesNewRomanPSMT" w:hAnsi="TimesNewRomanPSMT"/>
          <w:sz w:val="22"/>
          <w:szCs w:val="22"/>
        </w:rPr>
        <w:t xml:space="preserve">S3 </w:t>
      </w:r>
      <w:proofErr w:type="gramStart"/>
      <w:r w:rsidRPr="00B2685F">
        <w:rPr>
          <w:rFonts w:ascii="TimesNewRomanPSMT" w:hAnsi="TimesNewRomanPSMT"/>
          <w:sz w:val="22"/>
          <w:szCs w:val="22"/>
        </w:rPr>
        <w:t>The</w:t>
      </w:r>
      <w:proofErr w:type="gramEnd"/>
      <w:r w:rsidRPr="00B2685F">
        <w:rPr>
          <w:rFonts w:ascii="TimesNewRomanPSMT" w:hAnsi="TimesNewRomanPSMT"/>
          <w:sz w:val="22"/>
          <w:szCs w:val="22"/>
        </w:rPr>
        <w:t xml:space="preserve"> verification of the gene expressions of </w:t>
      </w:r>
      <w:bookmarkStart w:id="0" w:name="OLE_LINK1"/>
      <w:r w:rsidRPr="00B2685F">
        <w:rPr>
          <w:rFonts w:ascii="TimesNewRomanPSMT" w:hAnsi="TimesNewRomanPSMT"/>
          <w:sz w:val="22"/>
          <w:szCs w:val="22"/>
        </w:rPr>
        <w:t>MT-ND1</w:t>
      </w:r>
      <w:bookmarkEnd w:id="0"/>
      <w:r w:rsidRPr="00B2685F">
        <w:rPr>
          <w:rFonts w:ascii="TimesNewRomanPSMT" w:hAnsi="TimesNewRomanPSMT"/>
          <w:sz w:val="22"/>
          <w:szCs w:val="22"/>
        </w:rPr>
        <w:t xml:space="preserve"> and </w:t>
      </w:r>
      <w:bookmarkStart w:id="1" w:name="OLE_LINK4"/>
      <w:r w:rsidRPr="00B2685F">
        <w:rPr>
          <w:rFonts w:ascii="TimesNewRomanPSMT" w:hAnsi="TimesNewRomanPSMT"/>
          <w:sz w:val="22"/>
          <w:szCs w:val="22"/>
        </w:rPr>
        <w:t>MT1X</w:t>
      </w:r>
      <w:bookmarkEnd w:id="1"/>
      <w:r w:rsidRPr="00B2685F">
        <w:rPr>
          <w:rFonts w:ascii="TimesNewRomanPSMT" w:hAnsi="TimesNewRomanPSMT"/>
          <w:sz w:val="22"/>
          <w:szCs w:val="22"/>
        </w:rPr>
        <w:t xml:space="preserve"> in patients with KBD (n=</w:t>
      </w:r>
      <w:r w:rsidR="00B2685F">
        <w:rPr>
          <w:rFonts w:ascii="TimesNewRomanPSMT" w:hAnsi="TimesNewRomanPSMT"/>
          <w:sz w:val="22"/>
          <w:szCs w:val="22"/>
        </w:rPr>
        <w:t>3</w:t>
      </w:r>
      <w:r w:rsidRPr="00B2685F">
        <w:rPr>
          <w:rFonts w:ascii="TimesNewRomanPSMT" w:hAnsi="TimesNewRomanPSMT"/>
          <w:sz w:val="22"/>
          <w:szCs w:val="22"/>
        </w:rPr>
        <w:t xml:space="preserve">) using RT-PCR. The verification of </w:t>
      </w:r>
      <w:bookmarkStart w:id="2" w:name="OLE_LINK5"/>
      <w:r w:rsidRPr="00B2685F">
        <w:rPr>
          <w:rFonts w:ascii="TimesNewRomanPSMT" w:hAnsi="TimesNewRomanPSMT"/>
          <w:sz w:val="22"/>
          <w:szCs w:val="22"/>
        </w:rPr>
        <w:t>the gene expressions of AEBP1</w:t>
      </w:r>
      <w:bookmarkEnd w:id="2"/>
      <w:r w:rsidRPr="00B2685F">
        <w:rPr>
          <w:rFonts w:ascii="TimesNewRomanPSMT" w:hAnsi="TimesNewRomanPSMT"/>
          <w:sz w:val="22"/>
          <w:szCs w:val="22"/>
        </w:rPr>
        <w:t xml:space="preserve"> and </w:t>
      </w:r>
      <w:bookmarkStart w:id="3" w:name="OLE_LINK6"/>
      <w:r w:rsidRPr="00B2685F">
        <w:rPr>
          <w:rFonts w:ascii="TimesNewRomanPSMT" w:hAnsi="TimesNewRomanPSMT"/>
          <w:sz w:val="22"/>
          <w:szCs w:val="22"/>
        </w:rPr>
        <w:t>CHI3L1</w:t>
      </w:r>
      <w:bookmarkEnd w:id="3"/>
      <w:r w:rsidRPr="00B2685F">
        <w:rPr>
          <w:rFonts w:ascii="TimesNewRomanPSMT" w:hAnsi="TimesNewRomanPSMT"/>
          <w:sz w:val="22"/>
          <w:szCs w:val="22"/>
        </w:rPr>
        <w:t xml:space="preserve"> in patients with OA (n=</w:t>
      </w:r>
      <w:r w:rsidR="00B2685F">
        <w:rPr>
          <w:rFonts w:ascii="TimesNewRomanPSMT" w:hAnsi="TimesNewRomanPSMT"/>
          <w:sz w:val="22"/>
          <w:szCs w:val="22"/>
        </w:rPr>
        <w:t>3</w:t>
      </w:r>
      <w:r w:rsidRPr="00B2685F">
        <w:rPr>
          <w:rFonts w:ascii="TimesNewRomanPSMT" w:hAnsi="TimesNewRomanPSMT"/>
          <w:sz w:val="22"/>
          <w:szCs w:val="22"/>
        </w:rPr>
        <w:t>) using RT-PCR. **, P&lt;0.01</w:t>
      </w:r>
    </w:p>
    <w:p w:rsidR="00560534" w:rsidRDefault="00351E6B" w:rsidP="00351E6B">
      <w:pPr>
        <w:pStyle w:val="a3"/>
        <w:rPr>
          <w:rFonts w:ascii="TimesNewRomanPSMT" w:hAnsi="TimesNewRomanPSMT" w:hint="eastAsia"/>
          <w:sz w:val="22"/>
          <w:szCs w:val="22"/>
        </w:rPr>
      </w:pPr>
      <w:r w:rsidRPr="00C02934">
        <w:rPr>
          <w:rFonts w:ascii="TimesNewRomanPSMT" w:hAnsi="TimesNewRomanPSMT" w:hint="eastAsia"/>
          <w:sz w:val="22"/>
          <w:szCs w:val="22"/>
        </w:rPr>
        <w:t>Figure</w:t>
      </w:r>
      <w:r w:rsidRPr="00C02934">
        <w:rPr>
          <w:rFonts w:ascii="TimesNewRomanPSMT" w:hAnsi="TimesNewRomanPSMT"/>
          <w:sz w:val="22"/>
          <w:szCs w:val="22"/>
        </w:rPr>
        <w:t xml:space="preserve"> </w:t>
      </w:r>
      <w:r>
        <w:rPr>
          <w:rFonts w:ascii="TimesNewRomanPSMT" w:hAnsi="TimesNewRomanPSMT"/>
          <w:sz w:val="22"/>
          <w:szCs w:val="22"/>
        </w:rPr>
        <w:t>S</w:t>
      </w:r>
      <w:r w:rsidR="00527C3D">
        <w:rPr>
          <w:rFonts w:ascii="TimesNewRomanPSMT" w:hAnsi="TimesNewRomanPSMT"/>
          <w:sz w:val="22"/>
          <w:szCs w:val="22"/>
        </w:rPr>
        <w:t>4</w:t>
      </w:r>
      <w:r w:rsidRPr="00A51C49">
        <w:rPr>
          <w:rFonts w:ascii="TimesNewRomanPSMT" w:hAnsi="TimesNewRomanPSMT"/>
          <w:sz w:val="22"/>
          <w:szCs w:val="22"/>
        </w:rPr>
        <w:t xml:space="preserve"> </w:t>
      </w:r>
      <w:r w:rsidR="00E1491D" w:rsidRPr="009D267B">
        <w:rPr>
          <w:rFonts w:ascii="TimesNewRomanPSMT" w:hAnsi="TimesNewRomanPSMT"/>
          <w:sz w:val="22"/>
          <w:szCs w:val="22"/>
        </w:rPr>
        <w:t xml:space="preserve">Representative </w:t>
      </w:r>
      <w:proofErr w:type="gramStart"/>
      <w:r w:rsidR="00E1491D" w:rsidRPr="009D267B">
        <w:rPr>
          <w:rFonts w:ascii="TimesNewRomanPSMT" w:hAnsi="TimesNewRomanPSMT"/>
          <w:sz w:val="22"/>
          <w:szCs w:val="22"/>
        </w:rPr>
        <w:t>immunohistochemistry</w:t>
      </w:r>
      <w:proofErr w:type="gramEnd"/>
      <w:r w:rsidR="00E1491D" w:rsidRPr="009D267B">
        <w:rPr>
          <w:rFonts w:ascii="TimesNewRomanPSMT" w:hAnsi="TimesNewRomanPSMT"/>
          <w:sz w:val="22"/>
          <w:szCs w:val="22"/>
        </w:rPr>
        <w:t xml:space="preserve"> staining of </w:t>
      </w:r>
      <w:r w:rsidR="00E1491D" w:rsidRPr="00E1491D">
        <w:rPr>
          <w:rFonts w:ascii="TimesNewRomanPSMT" w:hAnsi="TimesNewRomanPSMT"/>
          <w:sz w:val="22"/>
          <w:szCs w:val="22"/>
        </w:rPr>
        <w:t>PTTG1</w:t>
      </w:r>
      <w:r w:rsidR="00E1491D">
        <w:rPr>
          <w:rFonts w:ascii="TimesNewRomanPSMT" w:hAnsi="TimesNewRomanPSMT"/>
          <w:sz w:val="22"/>
          <w:szCs w:val="22"/>
        </w:rPr>
        <w:t xml:space="preserve"> and </w:t>
      </w:r>
      <w:r w:rsidR="00E1491D" w:rsidRPr="00E1491D">
        <w:rPr>
          <w:rFonts w:ascii="TimesNewRomanPSMT" w:hAnsi="TimesNewRomanPSMT"/>
          <w:sz w:val="22"/>
          <w:szCs w:val="22"/>
        </w:rPr>
        <w:t>BIRC5</w:t>
      </w:r>
      <w:r w:rsidR="00E1491D" w:rsidRPr="009D267B">
        <w:rPr>
          <w:rFonts w:ascii="TimesNewRomanPSMT" w:hAnsi="TimesNewRomanPSMT"/>
          <w:sz w:val="22"/>
          <w:szCs w:val="22"/>
        </w:rPr>
        <w:t xml:space="preserve"> i</w:t>
      </w:r>
      <w:r w:rsidR="00E1491D">
        <w:rPr>
          <w:rFonts w:ascii="TimesNewRomanPSMT" w:hAnsi="TimesNewRomanPSMT"/>
          <w:sz w:val="22"/>
          <w:szCs w:val="22"/>
        </w:rPr>
        <w:t xml:space="preserve">n OA and </w:t>
      </w:r>
      <w:r w:rsidR="00E1491D">
        <w:rPr>
          <w:rFonts w:ascii="TimesNewRomanPSMT" w:hAnsi="TimesNewRomanPSMT" w:hint="eastAsia"/>
          <w:sz w:val="22"/>
          <w:szCs w:val="22"/>
        </w:rPr>
        <w:t>KBD</w:t>
      </w:r>
      <w:r w:rsidR="00E1491D">
        <w:rPr>
          <w:rFonts w:ascii="TimesNewRomanPSMT" w:hAnsi="TimesNewRomanPSMT"/>
          <w:sz w:val="22"/>
          <w:szCs w:val="22"/>
        </w:rPr>
        <w:t xml:space="preserve"> tissues. Scale bar,</w:t>
      </w:r>
      <w:r w:rsidR="00E1491D">
        <w:rPr>
          <w:rFonts w:ascii="TimesNewRomanPSMT" w:hAnsi="TimesNewRomanPSMT" w:hint="eastAsia"/>
          <w:sz w:val="22"/>
          <w:szCs w:val="22"/>
        </w:rPr>
        <w:t xml:space="preserve"> </w:t>
      </w:r>
      <w:r w:rsidR="00E1491D" w:rsidRPr="009D267B">
        <w:rPr>
          <w:rFonts w:ascii="TimesNewRomanPSMT" w:hAnsi="TimesNewRomanPSMT"/>
          <w:sz w:val="22"/>
          <w:szCs w:val="22"/>
        </w:rPr>
        <w:t xml:space="preserve">left, 500 </w:t>
      </w:r>
      <w:proofErr w:type="spellStart"/>
      <w:r w:rsidR="00E1491D" w:rsidRPr="009D267B">
        <w:rPr>
          <w:rFonts w:ascii="TimesNewRomanPSMT" w:hAnsi="TimesNewRomanPSMT"/>
          <w:sz w:val="22"/>
          <w:szCs w:val="22"/>
        </w:rPr>
        <w:t>μ</w:t>
      </w:r>
      <w:bookmarkStart w:id="4" w:name="_GoBack"/>
      <w:bookmarkEnd w:id="4"/>
      <w:r w:rsidR="00E1491D" w:rsidRPr="009D267B">
        <w:rPr>
          <w:rFonts w:ascii="TimesNewRomanPSMT" w:hAnsi="TimesNewRomanPSMT"/>
          <w:sz w:val="22"/>
          <w:szCs w:val="22"/>
        </w:rPr>
        <w:t>m</w:t>
      </w:r>
      <w:proofErr w:type="spellEnd"/>
      <w:r w:rsidR="00E1491D" w:rsidRPr="009D267B">
        <w:rPr>
          <w:rFonts w:ascii="TimesNewRomanPSMT" w:hAnsi="TimesNewRomanPSMT"/>
          <w:sz w:val="22"/>
          <w:szCs w:val="22"/>
        </w:rPr>
        <w:t xml:space="preserve">; right, 50 </w:t>
      </w:r>
      <w:proofErr w:type="spellStart"/>
      <w:r w:rsidR="00E1491D" w:rsidRPr="009D267B">
        <w:rPr>
          <w:rFonts w:ascii="TimesNewRomanPSMT" w:hAnsi="TimesNewRomanPSMT"/>
          <w:sz w:val="22"/>
          <w:szCs w:val="22"/>
        </w:rPr>
        <w:t>μm</w:t>
      </w:r>
      <w:proofErr w:type="spellEnd"/>
      <w:r w:rsidR="00E1491D">
        <w:rPr>
          <w:rFonts w:ascii="TimesNewRomanPSMT" w:hAnsi="TimesNewRomanPSMT" w:hint="eastAsia"/>
          <w:sz w:val="22"/>
          <w:szCs w:val="22"/>
        </w:rPr>
        <w:t>,</w:t>
      </w:r>
      <w:r w:rsidR="00E1491D">
        <w:rPr>
          <w:rFonts w:ascii="TimesNewRomanPSMT" w:hAnsi="TimesNewRomanPSMT"/>
          <w:sz w:val="22"/>
          <w:szCs w:val="22"/>
        </w:rPr>
        <w:t xml:space="preserve"> </w:t>
      </w:r>
      <w:r w:rsidR="00E1491D" w:rsidRPr="009D267B">
        <w:rPr>
          <w:rFonts w:ascii="TimesNewRomanPSMT" w:hAnsi="TimesNewRomanPSMT"/>
          <w:sz w:val="22"/>
          <w:szCs w:val="22"/>
        </w:rPr>
        <w:t xml:space="preserve">and </w:t>
      </w:r>
      <w:r w:rsidR="00E1491D">
        <w:rPr>
          <w:rFonts w:ascii="TimesNewRomanPSMT" w:hAnsi="TimesNewRomanPSMT"/>
          <w:sz w:val="22"/>
          <w:szCs w:val="22"/>
        </w:rPr>
        <w:t xml:space="preserve">comparative </w:t>
      </w:r>
      <w:r w:rsidR="00E1491D" w:rsidRPr="009D267B">
        <w:rPr>
          <w:rFonts w:ascii="TimesNewRomanPSMT" w:hAnsi="TimesNewRomanPSMT"/>
          <w:sz w:val="22"/>
          <w:szCs w:val="22"/>
        </w:rPr>
        <w:t>quantification of positive cells of different areas (</w:t>
      </w:r>
      <w:r w:rsidR="00E1491D">
        <w:rPr>
          <w:rFonts w:ascii="TimesNewRomanPSMT" w:hAnsi="TimesNewRomanPSMT"/>
          <w:sz w:val="22"/>
          <w:szCs w:val="22"/>
        </w:rPr>
        <w:t>superficia</w:t>
      </w:r>
      <w:r w:rsidR="00E1491D">
        <w:rPr>
          <w:rFonts w:ascii="TimesNewRomanPSMT" w:hAnsi="TimesNewRomanPSMT" w:hint="eastAsia"/>
          <w:sz w:val="22"/>
          <w:szCs w:val="22"/>
        </w:rPr>
        <w:t>l</w:t>
      </w:r>
      <w:r w:rsidR="00E1491D" w:rsidRPr="009D267B">
        <w:rPr>
          <w:rFonts w:ascii="TimesNewRomanPSMT" w:hAnsi="TimesNewRomanPSMT"/>
          <w:sz w:val="22"/>
          <w:szCs w:val="22"/>
        </w:rPr>
        <w:t xml:space="preserve">, middle, </w:t>
      </w:r>
      <w:r w:rsidR="00E1491D">
        <w:rPr>
          <w:rFonts w:ascii="TimesNewRomanPSMT" w:hAnsi="TimesNewRomanPSMT" w:hint="eastAsia"/>
          <w:sz w:val="22"/>
          <w:szCs w:val="22"/>
        </w:rPr>
        <w:t>deep</w:t>
      </w:r>
      <w:r w:rsidR="00E1491D" w:rsidRPr="009D267B">
        <w:rPr>
          <w:rFonts w:ascii="TimesNewRomanPSMT" w:hAnsi="TimesNewRomanPSMT"/>
          <w:sz w:val="22"/>
          <w:szCs w:val="22"/>
        </w:rPr>
        <w:t xml:space="preserve">) </w:t>
      </w:r>
      <w:r w:rsidR="00E1491D">
        <w:rPr>
          <w:rFonts w:ascii="TimesNewRomanPSMT" w:hAnsi="TimesNewRomanPSMT"/>
          <w:sz w:val="22"/>
          <w:szCs w:val="22"/>
        </w:rPr>
        <w:t>between OA and KBD</w:t>
      </w:r>
      <w:r w:rsidR="00E1491D" w:rsidRPr="009D267B">
        <w:rPr>
          <w:rFonts w:ascii="TimesNewRomanPSMT" w:hAnsi="TimesNewRomanPSMT"/>
          <w:sz w:val="22"/>
          <w:szCs w:val="22"/>
        </w:rPr>
        <w:t xml:space="preserve"> tissues displayed by box plot (n=</w:t>
      </w:r>
      <w:r w:rsidR="00E1491D">
        <w:rPr>
          <w:rFonts w:ascii="TimesNewRomanPSMT" w:hAnsi="TimesNewRomanPSMT"/>
          <w:sz w:val="22"/>
          <w:szCs w:val="22"/>
        </w:rPr>
        <w:t>5</w:t>
      </w:r>
      <w:r w:rsidR="00E1491D" w:rsidRPr="009D267B">
        <w:rPr>
          <w:rFonts w:ascii="TimesNewRomanPSMT" w:hAnsi="TimesNewRomanPSMT"/>
          <w:sz w:val="22"/>
          <w:szCs w:val="22"/>
        </w:rPr>
        <w:t>).</w:t>
      </w:r>
      <w:r w:rsidR="00E1491D" w:rsidRPr="009D267B">
        <w:rPr>
          <w:rFonts w:ascii="FrutigerLTPro-Condensed" w:hAnsi="FrutigerLTPro-Condensed" w:cs="FrutigerLTPro-Condensed"/>
          <w:sz w:val="18"/>
          <w:szCs w:val="18"/>
        </w:rPr>
        <w:t xml:space="preserve"> </w:t>
      </w:r>
      <w:r w:rsidR="00E1491D" w:rsidRPr="009D267B">
        <w:rPr>
          <w:rFonts w:ascii="TimesNewRomanPSMT" w:hAnsi="TimesNewRomanPSMT"/>
          <w:sz w:val="22"/>
          <w:szCs w:val="22"/>
        </w:rPr>
        <w:t>*p&lt;0.05</w:t>
      </w:r>
    </w:p>
    <w:p w:rsidR="00351E6B" w:rsidRPr="00527C3D" w:rsidRDefault="00560534" w:rsidP="00351E6B">
      <w:pPr>
        <w:pStyle w:val="a3"/>
        <w:rPr>
          <w:rFonts w:ascii="TimesNewRomanPSMT" w:hAnsi="TimesNewRomanPSMT" w:hint="eastAsia"/>
          <w:sz w:val="22"/>
          <w:szCs w:val="22"/>
        </w:rPr>
      </w:pPr>
      <w:r w:rsidRPr="00C02934">
        <w:rPr>
          <w:rFonts w:ascii="TimesNewRomanPSMT" w:hAnsi="TimesNewRomanPSMT" w:hint="eastAsia"/>
          <w:sz w:val="22"/>
          <w:szCs w:val="22"/>
        </w:rPr>
        <w:t>Figure</w:t>
      </w:r>
      <w:r w:rsidRPr="00C02934">
        <w:rPr>
          <w:rFonts w:ascii="TimesNewRomanPSMT" w:hAnsi="TimesNewRomanPSMT"/>
          <w:sz w:val="22"/>
          <w:szCs w:val="22"/>
        </w:rPr>
        <w:t xml:space="preserve"> </w:t>
      </w:r>
      <w:r>
        <w:rPr>
          <w:rFonts w:ascii="TimesNewRomanPSMT" w:hAnsi="TimesNewRomanPSMT" w:hint="eastAsia"/>
          <w:sz w:val="22"/>
          <w:szCs w:val="22"/>
        </w:rPr>
        <w:t>S</w:t>
      </w:r>
      <w:r w:rsidR="00527C3D">
        <w:rPr>
          <w:rFonts w:ascii="TimesNewRomanPSMT" w:hAnsi="TimesNewRomanPSMT"/>
          <w:sz w:val="22"/>
          <w:szCs w:val="22"/>
        </w:rPr>
        <w:t>5</w:t>
      </w:r>
      <w:r>
        <w:rPr>
          <w:rFonts w:ascii="TimesNewRomanPSMT" w:hAnsi="TimesNewRomanPSMT"/>
          <w:sz w:val="22"/>
          <w:szCs w:val="22"/>
        </w:rPr>
        <w:t xml:space="preserve"> </w:t>
      </w:r>
      <w:r w:rsidR="00351E6B" w:rsidRPr="009042AC">
        <w:rPr>
          <w:rFonts w:ascii="TimesNewRomanPSMT" w:hAnsi="TimesNewRomanPSMT"/>
          <w:sz w:val="22"/>
          <w:szCs w:val="22"/>
        </w:rPr>
        <w:t xml:space="preserve">Single-cell RNA-sequencing analysis of </w:t>
      </w:r>
      <w:r w:rsidR="00351E6B">
        <w:rPr>
          <w:rFonts w:ascii="TimesNewRomanPSMT" w:hAnsi="TimesNewRomanPSMT"/>
          <w:sz w:val="22"/>
          <w:szCs w:val="22"/>
        </w:rPr>
        <w:t xml:space="preserve">KBD </w:t>
      </w:r>
      <w:r w:rsidR="00351E6B" w:rsidRPr="009042AC">
        <w:rPr>
          <w:rFonts w:ascii="TimesNewRomanPSMT" w:hAnsi="TimesNewRomanPSMT"/>
          <w:sz w:val="22"/>
          <w:szCs w:val="22"/>
        </w:rPr>
        <w:t>chondrocyte tissue samples.</w:t>
      </w:r>
      <w:r w:rsidR="00351E6B">
        <w:rPr>
          <w:rFonts w:ascii="TimesNewRomanPSMT" w:hAnsi="TimesNewRomanPSMT"/>
          <w:sz w:val="22"/>
          <w:szCs w:val="22"/>
        </w:rPr>
        <w:t xml:space="preserve"> (</w:t>
      </w:r>
      <w:r w:rsidR="00351E6B">
        <w:rPr>
          <w:rFonts w:ascii="TimesNewRomanPSMT" w:hAnsi="TimesNewRomanPSMT" w:hint="eastAsia"/>
          <w:sz w:val="22"/>
          <w:szCs w:val="22"/>
        </w:rPr>
        <w:t>A</w:t>
      </w:r>
      <w:r w:rsidR="00351E6B">
        <w:rPr>
          <w:rFonts w:ascii="TimesNewRomanPSMT" w:hAnsi="TimesNewRomanPSMT"/>
          <w:sz w:val="22"/>
          <w:szCs w:val="22"/>
        </w:rPr>
        <w:t>)</w:t>
      </w:r>
      <w:r w:rsidR="00351E6B">
        <w:rPr>
          <w:rFonts w:ascii="TimesNewRomanPSMT" w:hAnsi="TimesNewRomanPSMT" w:hint="eastAsia"/>
          <w:sz w:val="22"/>
          <w:szCs w:val="22"/>
        </w:rPr>
        <w:t xml:space="preserve"> </w:t>
      </w:r>
      <w:r w:rsidR="00351E6B" w:rsidRPr="00694AE5">
        <w:rPr>
          <w:rFonts w:ascii="TimesNewRomanPSMT" w:hAnsi="TimesNewRomanPSMT"/>
          <w:sz w:val="22"/>
          <w:szCs w:val="22"/>
        </w:rPr>
        <w:t>Seve</w:t>
      </w:r>
      <w:r w:rsidR="00351E6B" w:rsidRPr="00527C3D">
        <w:rPr>
          <w:rFonts w:ascii="TimesNewRomanPSMT" w:hAnsi="TimesNewRomanPSMT"/>
          <w:sz w:val="22"/>
          <w:szCs w:val="22"/>
        </w:rPr>
        <w:t xml:space="preserve">n </w:t>
      </w:r>
      <w:r w:rsidR="00527C3D" w:rsidRPr="00527C3D">
        <w:rPr>
          <w:rFonts w:ascii="TimesNewRomanPSMT" w:hAnsi="TimesNewRomanPSMT"/>
          <w:sz w:val="22"/>
          <w:szCs w:val="22"/>
        </w:rPr>
        <w:t>KBD</w:t>
      </w:r>
      <w:r w:rsidR="00351E6B" w:rsidRPr="00527C3D">
        <w:rPr>
          <w:rFonts w:ascii="TimesNewRomanPSMT" w:hAnsi="TimesNewRomanPSMT"/>
          <w:sz w:val="22"/>
          <w:szCs w:val="22"/>
        </w:rPr>
        <w:t xml:space="preserve"> chondrocyte clusters. </w:t>
      </w:r>
      <w:proofErr w:type="spellStart"/>
      <w:r w:rsidR="00351E6B" w:rsidRPr="00527C3D">
        <w:rPr>
          <w:rFonts w:ascii="TimesNewRomanPSMT" w:hAnsi="TimesNewRomanPSMT"/>
          <w:sz w:val="22"/>
          <w:szCs w:val="22"/>
        </w:rPr>
        <w:t>Visualisation</w:t>
      </w:r>
      <w:proofErr w:type="spellEnd"/>
      <w:r w:rsidR="00351E6B" w:rsidRPr="00527C3D">
        <w:rPr>
          <w:rFonts w:ascii="TimesNewRomanPSMT" w:hAnsi="TimesNewRomanPSMT"/>
          <w:sz w:val="22"/>
          <w:szCs w:val="22"/>
        </w:rPr>
        <w:t xml:space="preserve"> of clustering by t-SNE plot of KBD samples, identified by cell type. (B) Violin plots of gene expression of chondrocyte markers in ECs (C2orf82, MIA, S100B and FRZB) and HTCs (IBSP, MMP13, RUNX2 and TMEM119) populations.</w:t>
      </w:r>
    </w:p>
    <w:p w:rsidR="00351E6B" w:rsidRPr="00D008BF" w:rsidRDefault="00351E6B" w:rsidP="00351E6B">
      <w:pPr>
        <w:pStyle w:val="a3"/>
        <w:rPr>
          <w:rFonts w:ascii="TimesNewRomanPSMT" w:hAnsi="TimesNewRomanPSMT" w:hint="eastAsia"/>
          <w:sz w:val="22"/>
          <w:szCs w:val="22"/>
        </w:rPr>
      </w:pPr>
      <w:r w:rsidRPr="00527C3D">
        <w:rPr>
          <w:rFonts w:ascii="TimesNewRomanPSMT" w:hAnsi="TimesNewRomanPSMT" w:hint="eastAsia"/>
          <w:sz w:val="22"/>
          <w:szCs w:val="22"/>
        </w:rPr>
        <w:t>Figure</w:t>
      </w:r>
      <w:r w:rsidRPr="00527C3D">
        <w:rPr>
          <w:rFonts w:ascii="TimesNewRomanPSMT" w:hAnsi="TimesNewRomanPSMT"/>
          <w:sz w:val="22"/>
          <w:szCs w:val="22"/>
        </w:rPr>
        <w:t xml:space="preserve"> </w:t>
      </w:r>
      <w:r w:rsidRPr="00527C3D">
        <w:rPr>
          <w:rFonts w:ascii="TimesNewRomanPSMT" w:hAnsi="TimesNewRomanPSMT" w:hint="eastAsia"/>
          <w:sz w:val="22"/>
          <w:szCs w:val="22"/>
        </w:rPr>
        <w:t>S</w:t>
      </w:r>
      <w:r w:rsidR="00527C3D" w:rsidRPr="00527C3D">
        <w:rPr>
          <w:rFonts w:ascii="TimesNewRomanPSMT" w:hAnsi="TimesNewRomanPSMT"/>
          <w:sz w:val="22"/>
          <w:szCs w:val="22"/>
        </w:rPr>
        <w:t>6</w:t>
      </w:r>
      <w:r w:rsidRPr="00527C3D">
        <w:rPr>
          <w:rFonts w:ascii="TimesNewRomanPSMT" w:hAnsi="TimesNewRomanPSMT"/>
          <w:sz w:val="22"/>
          <w:szCs w:val="22"/>
        </w:rPr>
        <w:t xml:space="preserve"> Single-cell RNA-sequencing analysis of OA chondrocyte tissue samples. (</w:t>
      </w:r>
      <w:r w:rsidRPr="00527C3D">
        <w:rPr>
          <w:rFonts w:ascii="TimesNewRomanPSMT" w:hAnsi="TimesNewRomanPSMT" w:hint="eastAsia"/>
          <w:sz w:val="22"/>
          <w:szCs w:val="22"/>
        </w:rPr>
        <w:t>A</w:t>
      </w:r>
      <w:r w:rsidRPr="00527C3D">
        <w:rPr>
          <w:rFonts w:ascii="TimesNewRomanPSMT" w:hAnsi="TimesNewRomanPSMT"/>
          <w:sz w:val="22"/>
          <w:szCs w:val="22"/>
        </w:rPr>
        <w:t>)</w:t>
      </w:r>
      <w:r w:rsidRPr="00527C3D">
        <w:rPr>
          <w:rFonts w:ascii="TimesNewRomanPSMT" w:hAnsi="TimesNewRomanPSMT" w:hint="eastAsia"/>
          <w:sz w:val="22"/>
          <w:szCs w:val="22"/>
        </w:rPr>
        <w:t xml:space="preserve"> </w:t>
      </w:r>
      <w:r w:rsidRPr="00527C3D">
        <w:rPr>
          <w:rFonts w:ascii="TimesNewRomanPSMT" w:hAnsi="TimesNewRomanPSMT"/>
          <w:sz w:val="22"/>
          <w:szCs w:val="22"/>
        </w:rPr>
        <w:t xml:space="preserve">Seven </w:t>
      </w:r>
      <w:r w:rsidR="00527C3D" w:rsidRPr="00527C3D">
        <w:rPr>
          <w:rFonts w:ascii="TimesNewRomanPSMT" w:hAnsi="TimesNewRomanPSMT"/>
          <w:sz w:val="22"/>
          <w:szCs w:val="22"/>
        </w:rPr>
        <w:t>OA</w:t>
      </w:r>
      <w:r w:rsidRPr="00527C3D">
        <w:rPr>
          <w:rFonts w:ascii="TimesNewRomanPSMT" w:hAnsi="TimesNewRomanPSMT"/>
          <w:sz w:val="22"/>
          <w:szCs w:val="22"/>
        </w:rPr>
        <w:t xml:space="preserve"> chondrocyte clusters</w:t>
      </w:r>
      <w:r w:rsidRPr="00694AE5">
        <w:rPr>
          <w:rFonts w:ascii="TimesNewRomanPSMT" w:hAnsi="TimesNewRomanPSMT"/>
          <w:sz w:val="22"/>
          <w:szCs w:val="22"/>
        </w:rPr>
        <w:t xml:space="preserve">. </w:t>
      </w:r>
      <w:proofErr w:type="spellStart"/>
      <w:r w:rsidRPr="009042AC">
        <w:rPr>
          <w:rFonts w:ascii="TimesNewRomanPSMT" w:hAnsi="TimesNewRomanPSMT"/>
          <w:sz w:val="22"/>
          <w:szCs w:val="22"/>
        </w:rPr>
        <w:t>Visualisation</w:t>
      </w:r>
      <w:proofErr w:type="spellEnd"/>
      <w:r w:rsidRPr="009042AC">
        <w:rPr>
          <w:rFonts w:ascii="TimesNewRomanPSMT" w:hAnsi="TimesNewRomanPSMT"/>
          <w:sz w:val="22"/>
          <w:szCs w:val="22"/>
        </w:rPr>
        <w:t xml:space="preserve"> of clustering by t-SNE plot of </w:t>
      </w:r>
      <w:r>
        <w:rPr>
          <w:rFonts w:ascii="TimesNewRomanPSMT" w:hAnsi="TimesNewRomanPSMT"/>
          <w:sz w:val="22"/>
          <w:szCs w:val="22"/>
        </w:rPr>
        <w:t>OA</w:t>
      </w:r>
      <w:r w:rsidRPr="009042AC">
        <w:rPr>
          <w:rFonts w:ascii="TimesNewRomanPSMT" w:hAnsi="TimesNewRomanPSMT"/>
          <w:sz w:val="22"/>
          <w:szCs w:val="22"/>
        </w:rPr>
        <w:t xml:space="preserve"> samples, identified by cell type.</w:t>
      </w:r>
      <w:r>
        <w:rPr>
          <w:rFonts w:ascii="TimesNewRomanPSMT" w:hAnsi="TimesNewRomanPSMT"/>
          <w:sz w:val="22"/>
          <w:szCs w:val="22"/>
        </w:rPr>
        <w:t xml:space="preserve"> (B)</w:t>
      </w:r>
      <w:r w:rsidRPr="003205FD">
        <w:rPr>
          <w:rFonts w:ascii="TimesNewRomanPSMT" w:hAnsi="TimesNewRomanPSMT"/>
          <w:sz w:val="22"/>
          <w:szCs w:val="22"/>
        </w:rPr>
        <w:t xml:space="preserve"> </w:t>
      </w:r>
      <w:r>
        <w:rPr>
          <w:rFonts w:ascii="TimesNewRomanPSMT" w:hAnsi="TimesNewRomanPSMT"/>
          <w:sz w:val="22"/>
          <w:szCs w:val="22"/>
        </w:rPr>
        <w:t>Violin plots of gene expression of chondrocyte markers in ECs (MIA, S100B, S100A1 and FRZB) populations.</w:t>
      </w:r>
    </w:p>
    <w:p w:rsidR="00093790" w:rsidRPr="00351E6B" w:rsidRDefault="00093790"/>
    <w:sectPr w:rsidR="00093790" w:rsidRPr="00351E6B" w:rsidSect="00727929">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NewRomanPSMT">
    <w:altName w:val="Times New Roman"/>
    <w:charset w:val="00"/>
    <w:family w:val="roman"/>
    <w:pitch w:val="default"/>
  </w:font>
  <w:font w:name="FrutigerLTPro-Condensed">
    <w:altName w:val="Arial"/>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2BA"/>
    <w:rsid w:val="00093790"/>
    <w:rsid w:val="00351E6B"/>
    <w:rsid w:val="00527C3D"/>
    <w:rsid w:val="00560534"/>
    <w:rsid w:val="006522BA"/>
    <w:rsid w:val="007C1528"/>
    <w:rsid w:val="00B2685F"/>
    <w:rsid w:val="00E1491D"/>
    <w:rsid w:val="00F44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8B4B"/>
  <w15:chartTrackingRefBased/>
  <w15:docId w15:val="{8F882AF1-3388-4F9E-A3D0-058521BCC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1E6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89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2020-12-10T09:51:00Z</dcterms:created>
  <dcterms:modified xsi:type="dcterms:W3CDTF">2021-03-31T02:23:00Z</dcterms:modified>
</cp:coreProperties>
</file>