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32D85" w14:textId="344414B0" w:rsidR="00295EBB" w:rsidRPr="008A02E6" w:rsidRDefault="00B737F4">
      <w:pP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Supplemental information</w:t>
      </w:r>
    </w:p>
    <w:p w14:paraId="2D452009" w14:textId="77777777" w:rsidR="008A02E6" w:rsidRPr="008A02E6" w:rsidRDefault="008A02E6">
      <w:pPr>
        <w:rPr>
          <w:rFonts w:ascii="Times New Roman" w:hAnsi="Times New Roman" w:cs="Times New Roman"/>
          <w:b/>
          <w:bCs/>
          <w:sz w:val="24"/>
          <w:szCs w:val="24"/>
          <w:lang w:val="en-US"/>
        </w:rPr>
      </w:pPr>
    </w:p>
    <w:p w14:paraId="5917116B" w14:textId="77777777" w:rsidR="008A02E6" w:rsidRPr="00F12E4F" w:rsidRDefault="008A02E6" w:rsidP="008A02E6">
      <w:pPr>
        <w:spacing w:line="480" w:lineRule="auto"/>
        <w:jc w:val="both"/>
        <w:rPr>
          <w:rFonts w:ascii="Times New Roman" w:hAnsi="Times New Roman" w:cs="Times New Roman"/>
          <w:sz w:val="24"/>
          <w:szCs w:val="24"/>
          <w:u w:val="single"/>
          <w:lang w:val="en-US"/>
        </w:rPr>
      </w:pPr>
      <w:r w:rsidRPr="00F12E4F">
        <w:rPr>
          <w:rFonts w:ascii="Times New Roman" w:hAnsi="Times New Roman" w:cs="Times New Roman"/>
          <w:sz w:val="24"/>
          <w:szCs w:val="24"/>
          <w:u w:val="single"/>
          <w:lang w:val="en-US"/>
        </w:rPr>
        <w:t>Supplemental Figure 1: Size-dependent phagocytosis by bone marrow-derived macrophages</w:t>
      </w:r>
    </w:p>
    <w:p w14:paraId="65042CEE" w14:textId="77777777" w:rsidR="008A02E6" w:rsidRPr="00F12E4F" w:rsidRDefault="008A02E6" w:rsidP="008A02E6">
      <w:pPr>
        <w:spacing w:line="480" w:lineRule="auto"/>
        <w:jc w:val="both"/>
        <w:rPr>
          <w:rFonts w:ascii="Times New Roman" w:hAnsi="Times New Roman" w:cs="Times New Roman"/>
          <w:sz w:val="24"/>
          <w:szCs w:val="24"/>
          <w:lang w:val="en-US"/>
        </w:rPr>
      </w:pPr>
      <w:r w:rsidRPr="00F12E4F">
        <w:rPr>
          <w:rFonts w:ascii="Times New Roman" w:hAnsi="Times New Roman" w:cs="Times New Roman"/>
          <w:sz w:val="24"/>
          <w:szCs w:val="24"/>
          <w:lang w:val="en-US"/>
        </w:rPr>
        <w:t xml:space="preserve">(A) Phagocytosis of 10 and 20 µm beads by BMDMs of </w:t>
      </w:r>
      <w:r w:rsidRPr="009B7480">
        <w:rPr>
          <w:rFonts w:ascii="Times New Roman" w:hAnsi="Times New Roman" w:cs="Times New Roman"/>
          <w:sz w:val="24"/>
          <w:szCs w:val="24"/>
          <w:lang w:val="en-US"/>
        </w:rPr>
        <w:t>MacGreen</w:t>
      </w:r>
      <w:r w:rsidRPr="00F12E4F">
        <w:rPr>
          <w:rFonts w:ascii="Times New Roman" w:hAnsi="Times New Roman" w:cs="Times New Roman"/>
          <w:sz w:val="24"/>
          <w:szCs w:val="24"/>
          <w:lang w:val="en-US"/>
        </w:rPr>
        <w:t xml:space="preserve"> mice. Of note, 45 µm beads could not be phagocytized. Lack of GFP fluorescence in cytoplasm of ATMs indicates phagocytosis (arrows). (B) Representative flow cytometry plots of BMDMs after incubation with beads of the indicated sizes. (C) Histogram shows BODIPY-signal in BMDMs indicating uptake of 10 µm BODIPY-stained beads. (D) Quantification of phagocytosis of different indicated bead sizes using FACS analysis (B-D). Scale bars = 50 µm. </w:t>
      </w:r>
    </w:p>
    <w:p w14:paraId="6C3C9859" w14:textId="77777777" w:rsidR="008A02E6" w:rsidRPr="00F12E4F" w:rsidRDefault="008A02E6" w:rsidP="008A02E6">
      <w:pPr>
        <w:spacing w:line="480" w:lineRule="auto"/>
        <w:rPr>
          <w:rFonts w:ascii="Times New Roman" w:hAnsi="Times New Roman" w:cs="Times New Roman"/>
          <w:sz w:val="24"/>
          <w:szCs w:val="24"/>
          <w:u w:val="single"/>
          <w:lang w:val="en-US"/>
        </w:rPr>
      </w:pPr>
    </w:p>
    <w:p w14:paraId="6BAD9221" w14:textId="77777777" w:rsidR="008A02E6" w:rsidRPr="00F12E4F" w:rsidRDefault="008A02E6" w:rsidP="0034354E">
      <w:pPr>
        <w:spacing w:line="480" w:lineRule="auto"/>
        <w:rPr>
          <w:rFonts w:ascii="Times New Roman" w:hAnsi="Times New Roman" w:cs="Times New Roman"/>
          <w:sz w:val="24"/>
          <w:szCs w:val="24"/>
          <w:u w:val="single"/>
          <w:lang w:val="en-US"/>
        </w:rPr>
      </w:pPr>
      <w:r w:rsidRPr="00F12E4F">
        <w:rPr>
          <w:rFonts w:ascii="Times New Roman" w:hAnsi="Times New Roman" w:cs="Times New Roman"/>
          <w:sz w:val="24"/>
          <w:szCs w:val="24"/>
          <w:u w:val="single"/>
          <w:lang w:val="en-US"/>
        </w:rPr>
        <w:t>Supplemental Figure 2:</w:t>
      </w:r>
      <w:r w:rsidRPr="00F12E4F">
        <w:rPr>
          <w:rFonts w:ascii="Times New Roman" w:hAnsi="Times New Roman" w:cs="Times New Roman"/>
          <w:b/>
          <w:bCs/>
          <w:sz w:val="24"/>
          <w:szCs w:val="24"/>
          <w:u w:val="single"/>
          <w:lang w:val="en-US"/>
        </w:rPr>
        <w:t xml:space="preserve"> </w:t>
      </w:r>
      <w:r w:rsidRPr="00F12E4F">
        <w:rPr>
          <w:rFonts w:ascii="Times New Roman" w:hAnsi="Times New Roman" w:cs="Times New Roman"/>
          <w:sz w:val="24"/>
          <w:szCs w:val="24"/>
          <w:u w:val="single"/>
          <w:lang w:val="en-US"/>
        </w:rPr>
        <w:t>Efferocytosis of small lipid droplets or fatty acid stimulation does not induce CD11c expression in macrophages</w:t>
      </w:r>
    </w:p>
    <w:p w14:paraId="7CCBE94E" w14:textId="77777777" w:rsidR="008A02E6" w:rsidRPr="00F12E4F" w:rsidRDefault="008A02E6" w:rsidP="0034354E">
      <w:pPr>
        <w:spacing w:line="480" w:lineRule="auto"/>
        <w:rPr>
          <w:rFonts w:ascii="Times New Roman" w:hAnsi="Times New Roman" w:cs="Times New Roman"/>
          <w:sz w:val="24"/>
          <w:szCs w:val="24"/>
          <w:lang w:val="en-US"/>
        </w:rPr>
      </w:pPr>
      <w:r w:rsidRPr="00F12E4F">
        <w:rPr>
          <w:rFonts w:ascii="Times New Roman" w:hAnsi="Times New Roman" w:cs="Times New Roman"/>
          <w:sz w:val="24"/>
          <w:szCs w:val="24"/>
          <w:lang w:val="en-US"/>
        </w:rPr>
        <w:t>(A) In AT explants, ATM sustain CD11c-negative phenotype following efferocytosis of small lipid droplets (&lt;25 µm; highlighted by arrows). (B, C) Palmitate challenge did not increase the number of CD11c positive ATMs or mean fluorescence intensity (MFI) of CD11c. Scale bars = 50 µm.</w:t>
      </w:r>
    </w:p>
    <w:p w14:paraId="35C25623" w14:textId="77777777" w:rsidR="008A02E6" w:rsidRPr="00F12E4F" w:rsidRDefault="008A02E6" w:rsidP="0034354E">
      <w:pPr>
        <w:spacing w:line="480" w:lineRule="auto"/>
        <w:rPr>
          <w:rFonts w:ascii="Times New Roman" w:hAnsi="Times New Roman" w:cs="Times New Roman"/>
          <w:sz w:val="24"/>
          <w:szCs w:val="24"/>
          <w:lang w:val="en-US"/>
        </w:rPr>
      </w:pPr>
    </w:p>
    <w:p w14:paraId="7B6F5FD7" w14:textId="77777777" w:rsidR="008A02E6" w:rsidRPr="00F12E4F" w:rsidRDefault="008A02E6" w:rsidP="0034354E">
      <w:pPr>
        <w:spacing w:line="480" w:lineRule="auto"/>
        <w:rPr>
          <w:rFonts w:ascii="Times New Roman" w:hAnsi="Times New Roman" w:cs="Times New Roman"/>
          <w:sz w:val="24"/>
          <w:szCs w:val="24"/>
          <w:u w:val="single"/>
          <w:lang w:val="en-US"/>
        </w:rPr>
      </w:pPr>
      <w:r w:rsidRPr="00F12E4F">
        <w:rPr>
          <w:rFonts w:ascii="Times New Roman" w:hAnsi="Times New Roman" w:cs="Times New Roman"/>
          <w:sz w:val="24"/>
          <w:szCs w:val="24"/>
          <w:u w:val="single"/>
          <w:lang w:val="en-US"/>
        </w:rPr>
        <w:t>Supplemental Table 1:</w:t>
      </w:r>
      <w:r w:rsidRPr="00F12E4F">
        <w:rPr>
          <w:rFonts w:ascii="Times New Roman" w:hAnsi="Times New Roman" w:cs="Times New Roman"/>
          <w:b/>
          <w:bCs/>
          <w:sz w:val="24"/>
          <w:szCs w:val="24"/>
          <w:u w:val="single"/>
          <w:lang w:val="en-US"/>
        </w:rPr>
        <w:t xml:space="preserve"> </w:t>
      </w:r>
      <w:r w:rsidRPr="00F12E4F">
        <w:rPr>
          <w:rFonts w:ascii="Times New Roman" w:hAnsi="Times New Roman" w:cs="Times New Roman"/>
          <w:sz w:val="24"/>
          <w:szCs w:val="24"/>
          <w:u w:val="single"/>
          <w:lang w:val="en-US"/>
        </w:rPr>
        <w:t>KEGG pathway analysis of sorted and sequenced CD11c high vs. CD11c low ATMs following adipocyte death induction</w:t>
      </w:r>
    </w:p>
    <w:p w14:paraId="7ABCC738" w14:textId="77777777" w:rsidR="008A02E6" w:rsidRPr="00F12E4F" w:rsidRDefault="008A02E6" w:rsidP="0034354E">
      <w:pPr>
        <w:spacing w:line="480" w:lineRule="auto"/>
        <w:rPr>
          <w:lang w:val="en-US"/>
        </w:rPr>
      </w:pPr>
    </w:p>
    <w:p w14:paraId="61C28A95" w14:textId="32DA7696" w:rsidR="008A02E6" w:rsidRDefault="008A02E6" w:rsidP="0034354E">
      <w:pPr>
        <w:spacing w:line="480" w:lineRule="auto"/>
        <w:rPr>
          <w:rFonts w:ascii="Times New Roman" w:hAnsi="Times New Roman" w:cs="Times New Roman"/>
          <w:sz w:val="24"/>
          <w:szCs w:val="24"/>
          <w:u w:val="single"/>
          <w:lang w:val="en-US"/>
        </w:rPr>
      </w:pPr>
      <w:r w:rsidRPr="00F12E4F">
        <w:rPr>
          <w:rFonts w:ascii="Times New Roman" w:hAnsi="Times New Roman" w:cs="Times New Roman"/>
          <w:sz w:val="24"/>
          <w:szCs w:val="24"/>
          <w:u w:val="single"/>
          <w:lang w:val="en-US"/>
        </w:rPr>
        <w:t>Supplemental Table 2:</w:t>
      </w:r>
      <w:r w:rsidRPr="00F12E4F">
        <w:rPr>
          <w:rFonts w:ascii="Times New Roman" w:hAnsi="Times New Roman" w:cs="Times New Roman"/>
          <w:b/>
          <w:bCs/>
          <w:sz w:val="24"/>
          <w:szCs w:val="24"/>
          <w:u w:val="single"/>
          <w:lang w:val="en-US"/>
        </w:rPr>
        <w:t xml:space="preserve"> </w:t>
      </w:r>
      <w:r w:rsidRPr="00F12E4F">
        <w:rPr>
          <w:rFonts w:ascii="Times New Roman" w:hAnsi="Times New Roman" w:cs="Times New Roman"/>
          <w:sz w:val="24"/>
          <w:szCs w:val="24"/>
          <w:u w:val="single"/>
          <w:lang w:val="en-US"/>
        </w:rPr>
        <w:t>List of significantly regulated genes of CD11c high vs. CD11c low ATMs following adipocyte death induction by RNAseq</w:t>
      </w:r>
    </w:p>
    <w:p w14:paraId="02041962" w14:textId="724E839D" w:rsidR="00B737F4" w:rsidRDefault="00B737F4" w:rsidP="008A02E6">
      <w:pPr>
        <w:rPr>
          <w:rFonts w:ascii="Times New Roman" w:hAnsi="Times New Roman" w:cs="Times New Roman"/>
          <w:sz w:val="24"/>
          <w:szCs w:val="24"/>
          <w:u w:val="single"/>
          <w:lang w:val="en-US"/>
        </w:rPr>
      </w:pPr>
    </w:p>
    <w:p w14:paraId="475ECB62" w14:textId="1AAD582E" w:rsidR="00B737F4" w:rsidRDefault="00B737F4" w:rsidP="008A02E6">
      <w:pPr>
        <w:rPr>
          <w:rFonts w:ascii="Times New Roman" w:hAnsi="Times New Roman" w:cs="Times New Roman"/>
          <w:sz w:val="24"/>
          <w:szCs w:val="24"/>
          <w:u w:val="single"/>
          <w:lang w:val="en-US"/>
        </w:rPr>
      </w:pPr>
    </w:p>
    <w:p w14:paraId="071C8D91" w14:textId="33354907" w:rsidR="00B737F4" w:rsidRDefault="00B737F4" w:rsidP="008A02E6">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lastRenderedPageBreak/>
        <w:t>Supplemental Movies</w:t>
      </w:r>
    </w:p>
    <w:p w14:paraId="5EC3F447" w14:textId="1E7F3BB6" w:rsidR="00B737F4" w:rsidRDefault="00B737F4" w:rsidP="008A02E6">
      <w:pPr>
        <w:rPr>
          <w:rFonts w:ascii="Times New Roman" w:hAnsi="Times New Roman" w:cs="Times New Roman"/>
          <w:sz w:val="24"/>
          <w:szCs w:val="24"/>
          <w:u w:val="single"/>
          <w:lang w:val="en-US"/>
        </w:rPr>
      </w:pPr>
    </w:p>
    <w:p w14:paraId="12226885" w14:textId="10884C06" w:rsidR="00B737F4" w:rsidRDefault="00B737F4" w:rsidP="008A02E6">
      <w:pPr>
        <w:rPr>
          <w:rFonts w:ascii="Times New Roman" w:hAnsi="Times New Roman" w:cs="Times New Roman"/>
          <w:iCs/>
          <w:sz w:val="24"/>
          <w:szCs w:val="24"/>
          <w:lang w:val="en-US"/>
        </w:rPr>
      </w:pPr>
      <w:r w:rsidRPr="00B737F4">
        <w:rPr>
          <w:rFonts w:ascii="Times New Roman" w:hAnsi="Times New Roman" w:cs="Times New Roman"/>
          <w:iCs/>
          <w:sz w:val="24"/>
          <w:szCs w:val="24"/>
          <w:lang w:val="en-US"/>
        </w:rPr>
        <w:t xml:space="preserve">Supplemental </w:t>
      </w:r>
      <w:r>
        <w:rPr>
          <w:rFonts w:ascii="Times New Roman" w:hAnsi="Times New Roman" w:cs="Times New Roman"/>
          <w:iCs/>
          <w:sz w:val="24"/>
          <w:szCs w:val="24"/>
          <w:lang w:val="en-US"/>
        </w:rPr>
        <w:t>movies 1-3 show the 3 processes of lipid degradation depicted in figure 1.</w:t>
      </w:r>
    </w:p>
    <w:p w14:paraId="57D94B29" w14:textId="46253A96" w:rsidR="00B737F4" w:rsidRDefault="00B737F4" w:rsidP="008A02E6">
      <w:pPr>
        <w:rPr>
          <w:rFonts w:ascii="Times New Roman" w:hAnsi="Times New Roman" w:cs="Times New Roman"/>
          <w:iCs/>
          <w:sz w:val="24"/>
          <w:szCs w:val="24"/>
          <w:lang w:val="en-US"/>
        </w:rPr>
      </w:pPr>
    </w:p>
    <w:p w14:paraId="1D456C67" w14:textId="3F52CB5F" w:rsidR="00B737F4" w:rsidRPr="00B737F4" w:rsidRDefault="00B737F4" w:rsidP="0034354E">
      <w:pPr>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Supplemental Movie 4 shows e</w:t>
      </w:r>
      <w:r w:rsidRPr="00B737F4">
        <w:rPr>
          <w:rFonts w:ascii="Times New Roman" w:hAnsi="Times New Roman" w:cs="Times New Roman"/>
          <w:iCs/>
          <w:sz w:val="24"/>
          <w:szCs w:val="24"/>
          <w:lang w:val="en-US"/>
        </w:rPr>
        <w:t>xemplary live imaging footage of laser injury and induced crown-like structure formation</w:t>
      </w:r>
      <w:r>
        <w:rPr>
          <w:rFonts w:ascii="Times New Roman" w:hAnsi="Times New Roman" w:cs="Times New Roman"/>
          <w:iCs/>
          <w:sz w:val="24"/>
          <w:szCs w:val="24"/>
          <w:lang w:val="en-US"/>
        </w:rPr>
        <w:t>.</w:t>
      </w:r>
    </w:p>
    <w:p w14:paraId="380E3B72" w14:textId="77777777" w:rsidR="00B737F4" w:rsidRPr="00B737F4" w:rsidRDefault="00B737F4" w:rsidP="008A02E6">
      <w:pPr>
        <w:rPr>
          <w:rFonts w:ascii="Times New Roman" w:hAnsi="Times New Roman" w:cs="Times New Roman"/>
          <w:b/>
          <w:bCs/>
          <w:sz w:val="24"/>
          <w:szCs w:val="24"/>
          <w:lang w:val="en-US"/>
        </w:rPr>
      </w:pPr>
    </w:p>
    <w:sectPr w:rsidR="00B737F4" w:rsidRPr="00B737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05"/>
    <w:rsid w:val="001F7DFD"/>
    <w:rsid w:val="0034354E"/>
    <w:rsid w:val="00553805"/>
    <w:rsid w:val="008A02E6"/>
    <w:rsid w:val="00B737F4"/>
    <w:rsid w:val="00DD0C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79BA"/>
  <w15:chartTrackingRefBased/>
  <w15:docId w15:val="{58FC6C2E-B2E4-4A24-89B2-4C323BF4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1330</Characters>
  <Application>Microsoft Office Word</Application>
  <DocSecurity>0</DocSecurity>
  <Lines>11</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ms421504</dc:creator>
  <cp:keywords/>
  <dc:description/>
  <cp:lastModifiedBy>ms421504</cp:lastModifiedBy>
  <cp:revision>4</cp:revision>
  <dcterms:created xsi:type="dcterms:W3CDTF">2021-04-15T13:21:00Z</dcterms:created>
  <dcterms:modified xsi:type="dcterms:W3CDTF">2021-04-16T13:27:00Z</dcterms:modified>
</cp:coreProperties>
</file>