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81B" w:rsidRDefault="00C54645" w:rsidP="0052092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 xml:space="preserve">Table </w:t>
      </w:r>
      <w:r w:rsidR="008D0982">
        <w:rPr>
          <w:rFonts w:ascii="Times New Roman" w:eastAsiaTheme="majorEastAsia" w:hAnsi="Times New Roman" w:cs="Times New Roman"/>
          <w:sz w:val="24"/>
          <w:szCs w:val="24"/>
        </w:rPr>
        <w:t>S4</w:t>
      </w:r>
      <w:r w:rsidRPr="00C54645">
        <w:rPr>
          <w:rFonts w:ascii="Times New Roman" w:eastAsiaTheme="majorEastAsia" w:hAnsi="Times New Roman" w:cs="Times New Roman"/>
          <w:sz w:val="24"/>
          <w:szCs w:val="24"/>
        </w:rPr>
        <w:t xml:space="preserve"> Relationship between </w:t>
      </w:r>
      <w:r w:rsidR="008D0982">
        <w:rPr>
          <w:rFonts w:ascii="Times New Roman" w:eastAsiaTheme="majorEastAsia" w:hAnsi="Times New Roman" w:cs="Times New Roman"/>
          <w:sz w:val="24"/>
          <w:szCs w:val="24"/>
        </w:rPr>
        <w:t>PSMC2</w:t>
      </w:r>
      <w:r w:rsidRPr="00C54645">
        <w:rPr>
          <w:rFonts w:ascii="Times New Roman" w:eastAsiaTheme="majorEastAsia" w:hAnsi="Times New Roman" w:cs="Times New Roman"/>
          <w:sz w:val="24"/>
          <w:szCs w:val="24"/>
        </w:rPr>
        <w:t xml:space="preserve"> expression and tumor characteristics in patients with </w:t>
      </w:r>
      <w:r w:rsidR="008D0982">
        <w:rPr>
          <w:rFonts w:ascii="Times New Roman" w:eastAsiaTheme="majorEastAsia" w:hAnsi="Times New Roman" w:cs="Times New Roman"/>
          <w:sz w:val="24"/>
          <w:szCs w:val="24"/>
        </w:rPr>
        <w:t>breast cancer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analyzed by </w:t>
      </w:r>
      <w:r w:rsidR="001B2CEE">
        <w:rPr>
          <w:rFonts w:ascii="Times New Roman" w:eastAsiaTheme="majorEastAsia" w:hAnsi="Times New Roman" w:cs="Times New Roman"/>
          <w:sz w:val="24"/>
          <w:szCs w:val="24"/>
        </w:rPr>
        <w:t>Spearman</w:t>
      </w:r>
      <w:r w:rsidR="00B0652E" w:rsidRPr="00B0652E">
        <w:rPr>
          <w:rFonts w:ascii="Times New Roman" w:eastAsiaTheme="majorEastAsia" w:hAnsi="Times New Roman" w:cs="Times New Roman"/>
          <w:sz w:val="24"/>
          <w:szCs w:val="24"/>
        </w:rPr>
        <w:t xml:space="preserve"> correlation analysis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99"/>
        <w:gridCol w:w="3420"/>
        <w:gridCol w:w="1885"/>
      </w:tblGrid>
      <w:tr w:rsidR="00B0652E" w:rsidRPr="00B0652E" w:rsidTr="00B0652E">
        <w:trPr>
          <w:trHeight w:val="286"/>
          <w:jc w:val="center"/>
        </w:trPr>
        <w:tc>
          <w:tcPr>
            <w:tcW w:w="2399" w:type="dxa"/>
            <w:tcBorders>
              <w:top w:val="single" w:sz="12" w:space="0" w:color="000000"/>
            </w:tcBorders>
            <w:vAlign w:val="center"/>
          </w:tcPr>
          <w:p w:rsidR="00B0652E" w:rsidRPr="00B0652E" w:rsidRDefault="00B0652E" w:rsidP="00B0652E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umor characteristics</w:t>
            </w:r>
          </w:p>
        </w:tc>
        <w:tc>
          <w:tcPr>
            <w:tcW w:w="3420" w:type="dxa"/>
            <w:tcBorders>
              <w:top w:val="single" w:sz="12" w:space="0" w:color="000000"/>
            </w:tcBorders>
            <w:vAlign w:val="center"/>
          </w:tcPr>
          <w:p w:rsidR="00B0652E" w:rsidRPr="00B0652E" w:rsidRDefault="00B0652E" w:rsidP="00B0652E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i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ndex</w:t>
            </w:r>
          </w:p>
        </w:tc>
        <w:tc>
          <w:tcPr>
            <w:tcW w:w="1885" w:type="dxa"/>
            <w:tcBorders>
              <w:top w:val="single" w:sz="12" w:space="0" w:color="000000"/>
            </w:tcBorders>
            <w:vAlign w:val="center"/>
          </w:tcPr>
          <w:p w:rsidR="00B0652E" w:rsidRPr="00B0652E" w:rsidRDefault="00B0652E" w:rsidP="00B0652E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</w:tr>
      <w:tr w:rsidR="008D0982" w:rsidRPr="00B0652E" w:rsidTr="00B0652E">
        <w:trPr>
          <w:trHeight w:val="286"/>
          <w:jc w:val="center"/>
        </w:trPr>
        <w:tc>
          <w:tcPr>
            <w:tcW w:w="2399" w:type="dxa"/>
            <w:tcBorders>
              <w:top w:val="single" w:sz="4" w:space="0" w:color="auto"/>
            </w:tcBorders>
            <w:vAlign w:val="center"/>
          </w:tcPr>
          <w:p w:rsidR="008D0982" w:rsidRPr="00B0652E" w:rsidRDefault="008D0982" w:rsidP="008D0982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:rsidR="008D0982" w:rsidRPr="00B0652E" w:rsidRDefault="00064D65" w:rsidP="008D0982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pearman</w:t>
            </w:r>
            <w:r w:rsidR="008D0982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correlation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:rsidR="008D0982" w:rsidRPr="008D0982" w:rsidRDefault="008D0982" w:rsidP="001B2CEE">
            <w:pPr>
              <w:widowControl/>
              <w:jc w:val="center"/>
              <w:textAlignment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8D0982"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0.</w:t>
            </w:r>
            <w:r w:rsidR="001B2CEE">
              <w:rPr>
                <w:rFonts w:ascii="Times New Roman" w:eastAsiaTheme="majorEastAsia" w:hAnsi="Times New Roman" w:cs="Times New Roman"/>
                <w:sz w:val="24"/>
                <w:szCs w:val="24"/>
              </w:rPr>
              <w:t>227</w:t>
            </w:r>
          </w:p>
        </w:tc>
      </w:tr>
      <w:tr w:rsidR="008D0982" w:rsidRPr="00B0652E" w:rsidTr="00B0652E">
        <w:trPr>
          <w:trHeight w:val="286"/>
          <w:jc w:val="center"/>
        </w:trPr>
        <w:tc>
          <w:tcPr>
            <w:tcW w:w="2399" w:type="dxa"/>
            <w:vAlign w:val="center"/>
          </w:tcPr>
          <w:p w:rsidR="008D0982" w:rsidRPr="00B0652E" w:rsidRDefault="008D0982" w:rsidP="008D0982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Align w:val="center"/>
          </w:tcPr>
          <w:p w:rsidR="008D0982" w:rsidRPr="00B0652E" w:rsidRDefault="008D0982" w:rsidP="008D0982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ignificance (two tailed)</w:t>
            </w:r>
          </w:p>
        </w:tc>
        <w:tc>
          <w:tcPr>
            <w:tcW w:w="1885" w:type="dxa"/>
            <w:vAlign w:val="center"/>
          </w:tcPr>
          <w:p w:rsidR="008D0982" w:rsidRPr="008D0982" w:rsidRDefault="001B2CEE" w:rsidP="008D0982">
            <w:pPr>
              <w:widowControl/>
              <w:jc w:val="center"/>
              <w:textAlignment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0.005</w:t>
            </w:r>
          </w:p>
        </w:tc>
      </w:tr>
      <w:tr w:rsidR="00E84290" w:rsidRPr="00B0652E" w:rsidTr="00E84290">
        <w:trPr>
          <w:trHeight w:val="79"/>
          <w:jc w:val="center"/>
        </w:trPr>
        <w:tc>
          <w:tcPr>
            <w:tcW w:w="2399" w:type="dxa"/>
            <w:vAlign w:val="center"/>
          </w:tcPr>
          <w:p w:rsidR="00E84290" w:rsidRPr="00B0652E" w:rsidRDefault="00E84290" w:rsidP="008D0982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Align w:val="center"/>
          </w:tcPr>
          <w:p w:rsidR="00E84290" w:rsidRPr="00B0652E" w:rsidRDefault="00E84290" w:rsidP="008D0982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885" w:type="dxa"/>
            <w:vAlign w:val="center"/>
          </w:tcPr>
          <w:p w:rsidR="00E84290" w:rsidRPr="008D0982" w:rsidRDefault="00E84290" w:rsidP="008D0982">
            <w:pPr>
              <w:widowControl/>
              <w:jc w:val="center"/>
              <w:textAlignment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149</w:t>
            </w:r>
          </w:p>
        </w:tc>
      </w:tr>
      <w:tr w:rsidR="00E84290" w:rsidRPr="00B0652E" w:rsidTr="00E84290">
        <w:trPr>
          <w:trHeight w:val="77"/>
          <w:jc w:val="center"/>
        </w:trPr>
        <w:tc>
          <w:tcPr>
            <w:tcW w:w="2399" w:type="dxa"/>
            <w:vAlign w:val="center"/>
          </w:tcPr>
          <w:p w:rsidR="00E84290" w:rsidRPr="00B0652E" w:rsidRDefault="00E84290" w:rsidP="00E8429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Tumor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size</w:t>
            </w:r>
          </w:p>
        </w:tc>
        <w:tc>
          <w:tcPr>
            <w:tcW w:w="3420" w:type="dxa"/>
            <w:vAlign w:val="center"/>
          </w:tcPr>
          <w:p w:rsidR="00E84290" w:rsidRPr="00B0652E" w:rsidRDefault="00E84290" w:rsidP="00E8429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pearman correlation</w:t>
            </w:r>
          </w:p>
        </w:tc>
        <w:tc>
          <w:tcPr>
            <w:tcW w:w="1885" w:type="dxa"/>
            <w:vAlign w:val="center"/>
          </w:tcPr>
          <w:p w:rsidR="00E84290" w:rsidRPr="00E84290" w:rsidRDefault="00E84290" w:rsidP="00E84290">
            <w:pPr>
              <w:widowControl/>
              <w:jc w:val="center"/>
              <w:textAlignment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E84290"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0.193</w:t>
            </w:r>
          </w:p>
        </w:tc>
      </w:tr>
      <w:tr w:rsidR="00E84290" w:rsidRPr="00B0652E" w:rsidTr="00E84290">
        <w:trPr>
          <w:trHeight w:val="77"/>
          <w:jc w:val="center"/>
        </w:trPr>
        <w:tc>
          <w:tcPr>
            <w:tcW w:w="2399" w:type="dxa"/>
            <w:vAlign w:val="center"/>
          </w:tcPr>
          <w:p w:rsidR="00E84290" w:rsidRPr="00B0652E" w:rsidRDefault="00E84290" w:rsidP="00E8429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Align w:val="center"/>
          </w:tcPr>
          <w:p w:rsidR="00E84290" w:rsidRPr="00B0652E" w:rsidRDefault="00E84290" w:rsidP="00E8429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ignificance (two tailed)</w:t>
            </w:r>
          </w:p>
        </w:tc>
        <w:tc>
          <w:tcPr>
            <w:tcW w:w="1885" w:type="dxa"/>
            <w:vAlign w:val="center"/>
          </w:tcPr>
          <w:p w:rsidR="00E84290" w:rsidRPr="00E84290" w:rsidRDefault="00E84290" w:rsidP="00E84290">
            <w:pPr>
              <w:widowControl/>
              <w:jc w:val="center"/>
              <w:textAlignment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0.020</w:t>
            </w:r>
            <w:bookmarkStart w:id="0" w:name="_GoBack"/>
            <w:bookmarkEnd w:id="0"/>
          </w:p>
        </w:tc>
      </w:tr>
      <w:tr w:rsidR="00E84290" w:rsidRPr="00B0652E" w:rsidTr="008D0982">
        <w:trPr>
          <w:trHeight w:val="77"/>
          <w:jc w:val="center"/>
        </w:trPr>
        <w:tc>
          <w:tcPr>
            <w:tcW w:w="2399" w:type="dxa"/>
            <w:tcBorders>
              <w:bottom w:val="single" w:sz="12" w:space="0" w:color="auto"/>
            </w:tcBorders>
            <w:vAlign w:val="center"/>
          </w:tcPr>
          <w:p w:rsidR="00E84290" w:rsidRPr="00B0652E" w:rsidRDefault="00E84290" w:rsidP="00E8429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bottom w:val="single" w:sz="12" w:space="0" w:color="auto"/>
            </w:tcBorders>
            <w:vAlign w:val="center"/>
          </w:tcPr>
          <w:p w:rsidR="00E84290" w:rsidRPr="00B0652E" w:rsidRDefault="00E84290" w:rsidP="00E8429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885" w:type="dxa"/>
            <w:tcBorders>
              <w:bottom w:val="single" w:sz="12" w:space="0" w:color="auto"/>
            </w:tcBorders>
            <w:vAlign w:val="center"/>
          </w:tcPr>
          <w:p w:rsidR="00E84290" w:rsidRPr="00E84290" w:rsidRDefault="00E84290" w:rsidP="00E84290">
            <w:pPr>
              <w:widowControl/>
              <w:jc w:val="center"/>
              <w:textAlignment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E84290"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146</w:t>
            </w:r>
          </w:p>
        </w:tc>
      </w:tr>
    </w:tbl>
    <w:p w:rsidR="00D2696B" w:rsidRDefault="00D2696B" w:rsidP="0052092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:rsidR="00D2696B" w:rsidRDefault="00D2696B" w:rsidP="0052092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:rsidR="00D2696B" w:rsidRDefault="00D2696B" w:rsidP="0052092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:rsidR="00D2696B" w:rsidRDefault="00D2696B" w:rsidP="0052092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:rsidR="00D2696B" w:rsidRPr="00520925" w:rsidRDefault="00D2696B" w:rsidP="0052092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sectPr w:rsidR="00D2696B" w:rsidRPr="00520925" w:rsidSect="00330F7C">
      <w:pgSz w:w="11906" w:h="16838"/>
      <w:pgMar w:top="158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9EC" w:rsidRDefault="00D139EC" w:rsidP="00086447">
      <w:r>
        <w:separator/>
      </w:r>
    </w:p>
  </w:endnote>
  <w:endnote w:type="continuationSeparator" w:id="0">
    <w:p w:rsidR="00D139EC" w:rsidRDefault="00D139EC" w:rsidP="00086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9EC" w:rsidRDefault="00D139EC" w:rsidP="00086447">
      <w:r>
        <w:separator/>
      </w:r>
    </w:p>
  </w:footnote>
  <w:footnote w:type="continuationSeparator" w:id="0">
    <w:p w:rsidR="00D139EC" w:rsidRDefault="00D139EC" w:rsidP="00086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6F0990"/>
    <w:multiLevelType w:val="hybridMultilevel"/>
    <w:tmpl w:val="08FCE658"/>
    <w:lvl w:ilvl="0" w:tplc="83220F8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NE.Ref{5FF354C8-CDF6-4DCF-820D-95263DB707AE}" w:val=" ADDIN NE.Ref.{5FF354C8-CDF6-4DCF-820D-95263DB707AE}&lt;Citation&gt;&lt;Group&gt;&lt;References&gt;&lt;Item&gt;&lt;ID&gt;4280&lt;/ID&gt;&lt;UID&gt;{F80764EC-E596-4B66-8F48-59D32FC0C053}&lt;/UID&gt;&lt;Title&gt;Combination of necroptosis and apoptosis inhibition enhances cardioprotection against myocardial ischemia–reperfusion injury&lt;/Title&gt;&lt;Template&gt;Journal Article&lt;/Template&gt;&lt;Star&gt;1&lt;/Star&gt;&lt;Tag&gt;0&lt;/Tag&gt;&lt;Author&gt;Koshinuma, Shizuka; Miyamae, Masami; Kaneda, Kazuhiro; Kotani, Junichiro; Figueredo, Vincent M&lt;/Author&gt;&lt;Year&gt;2013&lt;/Year&gt;&lt;Details&gt;&lt;_date_display&gt;2013&lt;/_date_display&gt;&lt;_date&gt;2013-01-01&lt;/_date&gt;&lt;_issue&gt;2&lt;/_issue&gt;&lt;_journal&gt;Journal of Anesthesia&lt;/_journal&gt;&lt;_pages&gt;235-241&lt;/_pages&gt;&lt;_volume&gt;28&lt;/_volume&gt;&lt;_created&gt;62820581&lt;/_created&gt;&lt;_modified&gt;62820581&lt;/_modified&gt;&lt;_impact_factor&gt;   1.454&lt;/_impact_factor&gt;&lt;_collection_scope&gt;SCIE&lt;/_collection_scope&gt;&lt;/Details&gt;&lt;Extra&gt;&lt;DBUID&gt;{FC0B0B99-27A3-4EF6-B8D3-8EDA779DB63A}&lt;/DBUID&gt;&lt;/Extra&gt;&lt;/Item&gt;&lt;/References&gt;&lt;/Group&gt;&lt;/Citation&gt;_x000a_"/>
    <w:docVar w:name="NE.Ref{9D157367-A3B8-4B2E-8D91-9EAD9251450F}" w:val=" ADDIN NE.Ref.{9D157367-A3B8-4B2E-8D91-9EAD9251450F}&lt;Citation&gt;&lt;Group&gt;&lt;References&gt;&lt;Item&gt;&lt;ID&gt;4279&lt;/ID&gt;&lt;UID&gt;{1CE25CA4-6054-4326-BA0A-C2B062AC8459}&lt;/UID&gt;&lt;Title&gt;Endoplasmic reticulum stress-induced apoptosis: A possible role in myocardial ischemia-reperfusion injury&lt;/Title&gt;&lt;Template&gt;Journal Article&lt;/Template&gt;&lt;Star&gt;1&lt;/Star&gt;&lt;Tag&gt;0&lt;/Tag&gt;&lt;Author&gt;Wu, H; Ye, M; Yang, J; Ding, J&lt;/Author&gt;&lt;Year&gt;2016&lt;/Year&gt;&lt;Details&gt;&lt;_date_display&gt;2016&lt;/_date_display&gt;&lt;_date&gt;2016-01-01&lt;/_date&gt;&lt;_journal&gt;International Journal of Cardiology&lt;/_journal&gt;&lt;_pages&gt;65-66&lt;/_pages&gt;&lt;_volume&gt;208&lt;/_volume&gt;&lt;_created&gt;62820580&lt;/_created&gt;&lt;_modified&gt;62820580&lt;/_modified&gt;&lt;_impact_factor&gt;   4.034&lt;/_impact_factor&gt;&lt;_collection_scope&gt;SCI;SCIE&lt;/_collection_scope&gt;&lt;/Details&gt;&lt;Extra&gt;&lt;DBUID&gt;{FC0B0B99-27A3-4EF6-B8D3-8EDA779DB63A}&lt;/DBUID&gt;&lt;/Extra&gt;&lt;/Item&gt;&lt;/References&gt;&lt;/Group&gt;&lt;/Citation&gt;_x000a_"/>
    <w:docVar w:name="NE.Ref{BE9E6518-7763-4411-9BD6-3593CACF6DAE}" w:val=" ADDIN NE.Ref.{BE9E6518-7763-4411-9BD6-3593CACF6DAE}&lt;Citation&gt;&lt;Group&gt;&lt;References&gt;&lt;Item&gt;&lt;ID&gt;4277&lt;/ID&gt;&lt;UID&gt;{9E2DAE0D-EA7B-4EF9-ADFD-4B99E0BD4218}&lt;/UID&gt;&lt;Title&gt;Apigenin suppresses the apoptosis of H9C2 rat cardiomyocytes subjected to myocardial ischemia鈥憆eperfusion injury via upregulation of the PI3K/Akt pathway&lt;/Title&gt;&lt;Template&gt;Journal Article&lt;/Template&gt;&lt;Star&gt;1&lt;/Star&gt;&lt;Tag&gt;0&lt;/Tag&gt;&lt;Author&gt;Zhou, Zhengwen; Zhang, Yue; Lin, Luning; Zhou, Jianmei&lt;/Author&gt;&lt;Year&gt;2018&lt;/Year&gt;&lt;Details&gt;&lt;_alternate_title&gt;Molecular medicine reports&lt;/_alternate_title&gt;&lt;_author_adr&gt;Department of Electrocardiogram Diagnosis, Zhejiang Hospital, Hangzhou, Zhejiang 310013, P.R. China.&lt;/_author_adr&gt;&lt;_date_display&gt;2018&lt;/_date_display&gt;&lt;_date&gt;2018-01-01&lt;/_date&gt;&lt;_doi&gt;10.3892/mmr.2018.9115&lt;/_doi&gt;&lt;_isbn&gt;1791-2997&lt;/_isbn&gt;&lt;_issue&gt;2&lt;/_issue&gt;&lt;_journal&gt;Molecular medicine reports&lt;/_journal&gt;&lt;_pages&gt;1560-1570&lt;/_pages&gt;&lt;_url&gt;http://europepmc.org/abstract/MED/29901074_x000d__x000a_http://europepmc.org/articles/PMC6072196?pdf=render_x000d__x000a_http://europepmc.org/articles/PMC6072196_x000d__x000a_https://doi.org/10.3892/mmr.2018.9115&lt;/_url&gt;&lt;_volume&gt;18&lt;/_volume&gt;&lt;_created&gt;62820574&lt;/_created&gt;&lt;_modified&gt;62820574&lt;/_modified&gt;&lt;_impact_factor&gt;   1.922&lt;/_impact_factor&gt;&lt;_collection_scope&gt;SCIE&lt;/_collection_scope&gt;&lt;/Details&gt;&lt;Extra&gt;&lt;DBUID&gt;{FC0B0B99-27A3-4EF6-B8D3-8EDA779DB63A}&lt;/DBUID&gt;&lt;/Extra&gt;&lt;/Item&gt;&lt;/References&gt;&lt;/Group&gt;&lt;/Citation&gt;_x000a_"/>
    <w:docVar w:name="NE.Ref{F63CB262-ACF0-4FD4-B936-2F1BE8668AB6}" w:val=" ADDIN NE.Ref.{F63CB262-ACF0-4FD4-B936-2F1BE8668AB6}&lt;Citation&gt;&lt;Group&gt;&lt;References&gt;&lt;Item&gt;&lt;ID&gt;4278&lt;/ID&gt;&lt;UID&gt;{A4635524-8DC4-4C33-BEE7-66353B8C3DC6}&lt;/UID&gt;&lt;Title&gt;Osthole attenuates myocardial ischemia/reperfusion injury in rats by inhibiting apoptosis and inflammation&lt;/Title&gt;&lt;Template&gt;Journal Article&lt;/Template&gt;&lt;Star&gt;1&lt;/Star&gt;&lt;Tag&gt;0&lt;/Tag&gt;&lt;Author&gt;Wu, Jingguo; Yang, Yang; Xun, Nan; Zeng, Lijin; Li, Zhenyu; Yang, Wen; Liang, Yanbing; Ma, Zhongfu; Tang, Hao&lt;/Author&gt;&lt;Year&gt;2018&lt;/Year&gt;&lt;Details&gt;&lt;_author_adr&gt;Department of General Internal Medicine, The First Affiliated Hospital of Sun Yat-sen University Guangzhou 510080, People&amp;apos;s Republic of China.&lt;/_author_adr&gt;&lt;_date_display&gt;2018&lt;/_date_display&gt;&lt;_date&gt;2018-01-01&lt;/_date&gt;&lt;_isbn&gt;1943-8141&lt;/_isbn&gt;&lt;_issue&gt;4&lt;/_issue&gt;&lt;_journal&gt;American Journal of Translational Research&lt;/_journal&gt;&lt;_pages&gt;1109-1116&lt;/_pages&gt;&lt;_secondary_title&gt;American journal of translational research&lt;/_secondary_title&gt;&lt;_url&gt;http://europepmc.org/abstract/MED/29736204_x000d__x000a_http://europepmc.org/articles/PMC5934570?pdf=render_x000d__x000a_http://europepmc.org/articles/PMC5934570&lt;/_url&gt;&lt;_volume&gt;10&lt;/_volume&gt;&lt;_created&gt;62820576&lt;/_created&gt;&lt;_modified&gt;62820577&lt;/_modified&gt;&lt;_accessed&gt;62820576&lt;/_accessed&gt;&lt;_impact_factor&gt;   3.061&lt;/_impact_factor&gt;&lt;_collection_scope&gt;SCIE&lt;/_collection_scope&gt;&lt;/Details&gt;&lt;Extra&gt;&lt;DBUID&gt;{FC0B0B99-27A3-4EF6-B8D3-8EDA779DB63A}&lt;/DBUID&gt;&lt;/Extra&gt;&lt;/Item&gt;&lt;/References&gt;&lt;/Group&gt;&lt;/Citation&gt;_x000a_"/>
    <w:docVar w:name="ne_docsoft" w:val="MSWord"/>
    <w:docVar w:name="ne_docversion" w:val="NoteExpress 2.0"/>
    <w:docVar w:name="ne_stylename" w:val="CA Cancer J Clin all author"/>
  </w:docVars>
  <w:rsids>
    <w:rsidRoot w:val="00086447"/>
    <w:rsid w:val="00037440"/>
    <w:rsid w:val="00064D65"/>
    <w:rsid w:val="000802A2"/>
    <w:rsid w:val="00086447"/>
    <w:rsid w:val="000E046B"/>
    <w:rsid w:val="001212AD"/>
    <w:rsid w:val="001805C6"/>
    <w:rsid w:val="00197DD9"/>
    <w:rsid w:val="001B2CEE"/>
    <w:rsid w:val="00233E52"/>
    <w:rsid w:val="002E44DE"/>
    <w:rsid w:val="00330F7C"/>
    <w:rsid w:val="003A7635"/>
    <w:rsid w:val="003E1263"/>
    <w:rsid w:val="00465714"/>
    <w:rsid w:val="00520925"/>
    <w:rsid w:val="005A37BE"/>
    <w:rsid w:val="005E11E8"/>
    <w:rsid w:val="005E642D"/>
    <w:rsid w:val="00611BAB"/>
    <w:rsid w:val="00682EC1"/>
    <w:rsid w:val="00706A4A"/>
    <w:rsid w:val="00776FF2"/>
    <w:rsid w:val="007A63B6"/>
    <w:rsid w:val="007B0E72"/>
    <w:rsid w:val="007C1CE3"/>
    <w:rsid w:val="0085354A"/>
    <w:rsid w:val="008D0982"/>
    <w:rsid w:val="008E5425"/>
    <w:rsid w:val="00960D1D"/>
    <w:rsid w:val="00993419"/>
    <w:rsid w:val="00995D9E"/>
    <w:rsid w:val="00A2270F"/>
    <w:rsid w:val="00A83093"/>
    <w:rsid w:val="00AA3EDC"/>
    <w:rsid w:val="00AB4C1C"/>
    <w:rsid w:val="00B008E8"/>
    <w:rsid w:val="00B0652E"/>
    <w:rsid w:val="00BC6F3A"/>
    <w:rsid w:val="00BD0008"/>
    <w:rsid w:val="00C54645"/>
    <w:rsid w:val="00CD125A"/>
    <w:rsid w:val="00CD2FC5"/>
    <w:rsid w:val="00D139EC"/>
    <w:rsid w:val="00D2696B"/>
    <w:rsid w:val="00D503B2"/>
    <w:rsid w:val="00D5500F"/>
    <w:rsid w:val="00E247A0"/>
    <w:rsid w:val="00E4581B"/>
    <w:rsid w:val="00E7496E"/>
    <w:rsid w:val="00E84290"/>
    <w:rsid w:val="00EE557D"/>
    <w:rsid w:val="00F2723E"/>
    <w:rsid w:val="00F4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7EBF93"/>
  <w15:docId w15:val="{5AC4D199-87A2-439D-9487-5795D3774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64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64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64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6447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CD2FC5"/>
    <w:rPr>
      <w:rFonts w:ascii="Calibri" w:hAnsi="Calibri" w:cs="Calibri"/>
      <w:noProof/>
      <w:sz w:val="20"/>
      <w:szCs w:val="24"/>
    </w:rPr>
  </w:style>
  <w:style w:type="character" w:customStyle="1" w:styleId="EndNoteBibliographyChar">
    <w:name w:val="EndNote Bibliography Char"/>
    <w:basedOn w:val="a0"/>
    <w:link w:val="EndNoteBibliography"/>
    <w:rsid w:val="00CD2FC5"/>
    <w:rPr>
      <w:rFonts w:ascii="Calibri" w:hAnsi="Calibri" w:cs="Calibri"/>
      <w:noProof/>
      <w:sz w:val="20"/>
      <w:szCs w:val="24"/>
    </w:rPr>
  </w:style>
  <w:style w:type="paragraph" w:styleId="a7">
    <w:name w:val="List Paragraph"/>
    <w:basedOn w:val="a"/>
    <w:uiPriority w:val="34"/>
    <w:qFormat/>
    <w:rsid w:val="00AA3EDC"/>
    <w:pPr>
      <w:ind w:firstLineChars="200" w:firstLine="420"/>
    </w:pPr>
  </w:style>
  <w:style w:type="character" w:customStyle="1" w:styleId="apple-converted-space">
    <w:name w:val="apple-converted-space"/>
    <w:basedOn w:val="a0"/>
    <w:rsid w:val="007A63B6"/>
  </w:style>
  <w:style w:type="paragraph" w:styleId="a8">
    <w:name w:val="Normal (Web)"/>
    <w:basedOn w:val="a"/>
    <w:uiPriority w:val="99"/>
    <w:semiHidden/>
    <w:unhideWhenUsed/>
    <w:rsid w:val="00E458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Hyperlink"/>
    <w:basedOn w:val="a0"/>
    <w:uiPriority w:val="99"/>
    <w:unhideWhenUsed/>
    <w:rsid w:val="00B065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3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sirius</dc:creator>
  <cp:keywords/>
  <dc:description>NE.Ref</dc:description>
  <cp:lastModifiedBy>ybr0056</cp:lastModifiedBy>
  <cp:revision>35</cp:revision>
  <dcterms:created xsi:type="dcterms:W3CDTF">2010-10-10T08:47:00Z</dcterms:created>
  <dcterms:modified xsi:type="dcterms:W3CDTF">2020-07-07T06:18:00Z</dcterms:modified>
</cp:coreProperties>
</file>