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7A1D8D" w14:textId="72A7612C" w:rsidR="00281E06" w:rsidRDefault="000F082B" w:rsidP="000F082B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bookmarkStart w:id="0" w:name="_GoBack"/>
      <w:bookmarkEnd w:id="0"/>
      <w:r w:rsidRPr="00E85AE4">
        <w:rPr>
          <w:rFonts w:ascii="Times New Roman" w:eastAsiaTheme="majorEastAsia" w:hAnsi="Times New Roman" w:cs="Times New Roman"/>
          <w:b/>
          <w:sz w:val="24"/>
          <w:szCs w:val="24"/>
        </w:rPr>
        <w:t>Figure S1.</w:t>
      </w:r>
      <w:r>
        <w:rPr>
          <w:rFonts w:ascii="Times New Roman" w:eastAsiaTheme="majorEastAsia" w:hAnsi="Times New Roman" w:cs="Times New Roman"/>
          <w:sz w:val="24"/>
          <w:szCs w:val="24"/>
        </w:rPr>
        <w:t xml:space="preserve"> </w:t>
      </w:r>
      <w:r w:rsidR="00D36DC9">
        <w:rPr>
          <w:rFonts w:ascii="Times New Roman" w:eastAsiaTheme="majorEastAsia" w:hAnsi="Times New Roman" w:cs="Times New Roman"/>
          <w:sz w:val="24"/>
          <w:szCs w:val="24"/>
        </w:rPr>
        <w:t>(A)</w:t>
      </w:r>
      <w:r w:rsidR="001164B8">
        <w:rPr>
          <w:rFonts w:ascii="Times New Roman" w:eastAsiaTheme="majorEastAsia" w:hAnsi="Times New Roman" w:cs="Times New Roman"/>
          <w:sz w:val="24"/>
          <w:szCs w:val="24"/>
        </w:rPr>
        <w:t xml:space="preserve"> The endogenous expression of </w:t>
      </w:r>
      <w:r w:rsidR="00281E06">
        <w:rPr>
          <w:rFonts w:ascii="Times New Roman" w:eastAsiaTheme="majorEastAsia" w:hAnsi="Times New Roman" w:cs="Times New Roman"/>
          <w:sz w:val="24"/>
          <w:szCs w:val="24"/>
        </w:rPr>
        <w:t>PSMC2</w:t>
      </w:r>
      <w:r w:rsidR="001164B8">
        <w:rPr>
          <w:rFonts w:ascii="Times New Roman" w:eastAsiaTheme="majorEastAsia" w:hAnsi="Times New Roman" w:cs="Times New Roman"/>
          <w:sz w:val="24"/>
          <w:szCs w:val="24"/>
        </w:rPr>
        <w:t xml:space="preserve"> in </w:t>
      </w:r>
      <w:r w:rsidR="00281E06">
        <w:rPr>
          <w:rFonts w:ascii="Times New Roman" w:eastAsiaTheme="majorEastAsia" w:hAnsi="Times New Roman" w:cs="Times New Roman"/>
          <w:sz w:val="24"/>
          <w:szCs w:val="24"/>
        </w:rPr>
        <w:t xml:space="preserve">breast </w:t>
      </w:r>
      <w:r w:rsidR="00281E06" w:rsidRPr="00281E06">
        <w:rPr>
          <w:rFonts w:ascii="Times New Roman" w:eastAsiaTheme="majorEastAsia" w:hAnsi="Times New Roman" w:cs="Times New Roman"/>
          <w:sz w:val="24"/>
          <w:szCs w:val="24"/>
        </w:rPr>
        <w:t>epithelial cell</w:t>
      </w:r>
      <w:r w:rsidR="00281E06">
        <w:rPr>
          <w:rFonts w:ascii="Times New Roman" w:eastAsiaTheme="majorEastAsia" w:hAnsi="Times New Roman" w:cs="Times New Roman"/>
          <w:sz w:val="24"/>
          <w:szCs w:val="24"/>
        </w:rPr>
        <w:t xml:space="preserve"> line HBL-100 and breast cancer cell lines including MCF-7 and MDA-MB-231</w:t>
      </w:r>
      <w:r w:rsidR="001164B8">
        <w:rPr>
          <w:rFonts w:ascii="Times New Roman" w:eastAsiaTheme="majorEastAsia" w:hAnsi="Times New Roman" w:cs="Times New Roman"/>
          <w:sz w:val="24"/>
          <w:szCs w:val="24"/>
        </w:rPr>
        <w:t xml:space="preserve"> was detected by qPCR.</w:t>
      </w:r>
      <w:r w:rsidR="00281E06">
        <w:rPr>
          <w:rFonts w:ascii="Times New Roman" w:eastAsiaTheme="majorEastAsia" w:hAnsi="Times New Roman" w:cs="Times New Roman"/>
          <w:sz w:val="24"/>
          <w:szCs w:val="24"/>
        </w:rPr>
        <w:t xml:space="preserve"> </w:t>
      </w:r>
      <w:r w:rsidR="00281E06" w:rsidRPr="008D3C74">
        <w:rPr>
          <w:rFonts w:ascii="Times New Roman" w:hAnsi="Times New Roman" w:cs="Times New Roman"/>
          <w:sz w:val="24"/>
          <w:szCs w:val="24"/>
        </w:rPr>
        <w:t>Data were shown as mean ± SD (n ≥ 3)</w:t>
      </w:r>
      <w:r w:rsidR="00281E06">
        <w:rPr>
          <w:rFonts w:ascii="Times New Roman" w:hAnsi="Times New Roman" w:cs="Times New Roman"/>
          <w:sz w:val="24"/>
          <w:szCs w:val="24"/>
        </w:rPr>
        <w:t xml:space="preserve">. ** P </w:t>
      </w:r>
      <w:r w:rsidR="00281E06">
        <w:rPr>
          <w:rFonts w:ascii="Times New Roman" w:hAnsi="Times New Roman" w:cs="Times New Roman" w:hint="eastAsia"/>
          <w:sz w:val="24"/>
          <w:szCs w:val="24"/>
        </w:rPr>
        <w:t>&lt;</w:t>
      </w:r>
      <w:r w:rsidR="00281E06">
        <w:rPr>
          <w:rFonts w:ascii="Times New Roman" w:hAnsi="Times New Roman" w:cs="Times New Roman"/>
          <w:sz w:val="24"/>
          <w:szCs w:val="24"/>
        </w:rPr>
        <w:t xml:space="preserve"> 0.01</w:t>
      </w:r>
    </w:p>
    <w:p w14:paraId="74FBC760" w14:textId="718BD4A5" w:rsidR="000E6DCF" w:rsidRDefault="00281E06" w:rsidP="000F082B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 w:rsidRPr="00281E06">
        <w:rPr>
          <w:rFonts w:ascii="Times New Roman" w:eastAsiaTheme="majorEastAsia" w:hAnsi="Times New Roman" w:cs="Times New Roman"/>
          <w:b/>
          <w:bCs/>
          <w:sz w:val="24"/>
          <w:szCs w:val="24"/>
        </w:rPr>
        <w:t>Figure S2.</w:t>
      </w:r>
      <w:r>
        <w:rPr>
          <w:rFonts w:ascii="Times New Roman" w:eastAsiaTheme="majorEastAsia" w:hAnsi="Times New Roman" w:cs="Times New Roman"/>
          <w:sz w:val="24"/>
          <w:szCs w:val="24"/>
        </w:rPr>
        <w:t xml:space="preserve"> (A) </w:t>
      </w:r>
      <w:r w:rsidR="000F082B">
        <w:rPr>
          <w:rFonts w:ascii="Times New Roman" w:eastAsiaTheme="majorEastAsia" w:hAnsi="Times New Roman" w:cs="Times New Roman"/>
          <w:sz w:val="24"/>
          <w:szCs w:val="24"/>
        </w:rPr>
        <w:t>The transfection efficiencies of sh</w:t>
      </w:r>
      <w:r>
        <w:rPr>
          <w:rFonts w:ascii="Times New Roman" w:eastAsiaTheme="majorEastAsia" w:hAnsi="Times New Roman" w:cs="Times New Roman"/>
          <w:sz w:val="24"/>
          <w:szCs w:val="24"/>
        </w:rPr>
        <w:t>PSMC2</w:t>
      </w:r>
      <w:r w:rsidR="000F082B">
        <w:rPr>
          <w:rFonts w:ascii="Times New Roman" w:eastAsiaTheme="majorEastAsia" w:hAnsi="Times New Roman" w:cs="Times New Roman"/>
          <w:sz w:val="24"/>
          <w:szCs w:val="24"/>
        </w:rPr>
        <w:t xml:space="preserve"> and </w:t>
      </w:r>
      <w:proofErr w:type="spellStart"/>
      <w:r w:rsidR="000F082B">
        <w:rPr>
          <w:rFonts w:ascii="Times New Roman" w:eastAsiaTheme="majorEastAsia" w:hAnsi="Times New Roman" w:cs="Times New Roman"/>
          <w:sz w:val="24"/>
          <w:szCs w:val="24"/>
        </w:rPr>
        <w:t>shCtrl</w:t>
      </w:r>
      <w:proofErr w:type="spellEnd"/>
      <w:r>
        <w:rPr>
          <w:rFonts w:ascii="Times New Roman" w:eastAsiaTheme="majorEastAsia" w:hAnsi="Times New Roman" w:cs="Times New Roman"/>
          <w:sz w:val="24"/>
          <w:szCs w:val="24"/>
        </w:rPr>
        <w:t xml:space="preserve">, knockdown efficiency of PSMC2 in MCF-7 cells were evaluated by fluorescence imaging, qPCR and western blotting, respectively. (B) The transfection efficiencies of shPSMC2 and </w:t>
      </w:r>
      <w:proofErr w:type="spellStart"/>
      <w:r>
        <w:rPr>
          <w:rFonts w:ascii="Times New Roman" w:eastAsiaTheme="majorEastAsia" w:hAnsi="Times New Roman" w:cs="Times New Roman"/>
          <w:sz w:val="24"/>
          <w:szCs w:val="24"/>
        </w:rPr>
        <w:t>shCtrl</w:t>
      </w:r>
      <w:proofErr w:type="spellEnd"/>
      <w:r>
        <w:rPr>
          <w:rFonts w:ascii="Times New Roman" w:eastAsiaTheme="majorEastAsia" w:hAnsi="Times New Roman" w:cs="Times New Roman"/>
          <w:sz w:val="24"/>
          <w:szCs w:val="24"/>
        </w:rPr>
        <w:t xml:space="preserve">, knockdown efficiency of PSMC2 in MDA-MB-231 cells were evaluated by fluorescence imaging, qPCR and western blotting, respectively. </w:t>
      </w:r>
      <w:r w:rsidRPr="008D3C74">
        <w:rPr>
          <w:rFonts w:ascii="Times New Roman" w:hAnsi="Times New Roman" w:cs="Times New Roman"/>
          <w:sz w:val="24"/>
          <w:szCs w:val="24"/>
        </w:rPr>
        <w:t>Data were shown as mean ± SD (n ≥ 3)</w:t>
      </w:r>
      <w:r>
        <w:rPr>
          <w:rFonts w:ascii="Times New Roman" w:hAnsi="Times New Roman" w:cs="Times New Roman"/>
          <w:sz w:val="24"/>
          <w:szCs w:val="24"/>
        </w:rPr>
        <w:t>. *** P &lt; 0.001</w:t>
      </w:r>
    </w:p>
    <w:p w14:paraId="04E48C2E" w14:textId="438D22C7" w:rsidR="00281E06" w:rsidRDefault="001164B8" w:rsidP="00C9196D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 w:rsidRPr="001164B8">
        <w:rPr>
          <w:rFonts w:ascii="Times New Roman" w:eastAsiaTheme="majorEastAsia" w:hAnsi="Times New Roman" w:cs="Times New Roman"/>
          <w:b/>
          <w:bCs/>
          <w:sz w:val="24"/>
          <w:szCs w:val="24"/>
        </w:rPr>
        <w:t>Figure S</w:t>
      </w:r>
      <w:r w:rsidR="00281E06">
        <w:rPr>
          <w:rFonts w:ascii="Times New Roman" w:eastAsiaTheme="majorEastAsia" w:hAnsi="Times New Roman" w:cs="Times New Roman"/>
          <w:b/>
          <w:bCs/>
          <w:sz w:val="24"/>
          <w:szCs w:val="24"/>
        </w:rPr>
        <w:t>3</w:t>
      </w:r>
      <w:r w:rsidRPr="001164B8">
        <w:rPr>
          <w:rFonts w:ascii="Times New Roman" w:eastAsiaTheme="majorEastAsia" w:hAnsi="Times New Roman" w:cs="Times New Roman"/>
          <w:b/>
          <w:bCs/>
          <w:sz w:val="24"/>
          <w:szCs w:val="24"/>
        </w:rPr>
        <w:t>.</w:t>
      </w:r>
      <w:r>
        <w:rPr>
          <w:rFonts w:ascii="Times New Roman" w:eastAsiaTheme="majorEastAsia" w:hAnsi="Times New Roman" w:cs="Times New Roman"/>
          <w:sz w:val="24"/>
          <w:szCs w:val="24"/>
        </w:rPr>
        <w:t xml:space="preserve"> (A) </w:t>
      </w:r>
      <w:r w:rsidR="00001602">
        <w:rPr>
          <w:rFonts w:ascii="Times New Roman" w:eastAsiaTheme="majorEastAsia" w:hAnsi="Times New Roman" w:cs="Times New Roman"/>
          <w:sz w:val="24"/>
          <w:szCs w:val="24"/>
        </w:rPr>
        <w:t xml:space="preserve">A human </w:t>
      </w:r>
      <w:r>
        <w:rPr>
          <w:rFonts w:ascii="Times New Roman" w:eastAsiaTheme="majorEastAsia" w:hAnsi="Times New Roman" w:cs="Times New Roman"/>
          <w:sz w:val="24"/>
          <w:szCs w:val="24"/>
        </w:rPr>
        <w:t>apoptosis antibody array was used to</w:t>
      </w:r>
      <w:r w:rsidR="00C9196D">
        <w:rPr>
          <w:rFonts w:ascii="Times New Roman" w:eastAsiaTheme="majorEastAsia" w:hAnsi="Times New Roman" w:cs="Times New Roman"/>
          <w:sz w:val="24"/>
          <w:szCs w:val="24"/>
        </w:rPr>
        <w:t xml:space="preserve"> detect the expression of apoptosis-related proteins in breast cancer cells with or without PSMC2 knockdown. (B) Based on the results of human apoptosis antibody array, several </w:t>
      </w:r>
      <w:r>
        <w:rPr>
          <w:rFonts w:ascii="Times New Roman" w:eastAsiaTheme="majorEastAsia" w:hAnsi="Times New Roman" w:cs="Times New Roman"/>
          <w:sz w:val="24"/>
          <w:szCs w:val="24"/>
        </w:rPr>
        <w:t>differentially expressed proteins in apoptosis-related signaling pathways</w:t>
      </w:r>
      <w:r w:rsidR="00C9196D">
        <w:rPr>
          <w:rFonts w:ascii="Times New Roman" w:eastAsiaTheme="majorEastAsia" w:hAnsi="Times New Roman" w:cs="Times New Roman"/>
          <w:sz w:val="24"/>
          <w:szCs w:val="24"/>
        </w:rPr>
        <w:t xml:space="preserve"> were identified and</w:t>
      </w:r>
      <w:r w:rsidR="00281E06">
        <w:rPr>
          <w:rFonts w:ascii="Times New Roman" w:eastAsiaTheme="majorEastAsia" w:hAnsi="Times New Roman" w:cs="Times New Roman"/>
          <w:sz w:val="24"/>
          <w:szCs w:val="24"/>
        </w:rPr>
        <w:t xml:space="preserve"> shown</w:t>
      </w:r>
      <w:r w:rsidR="005916D8">
        <w:rPr>
          <w:rFonts w:ascii="Times New Roman" w:eastAsiaTheme="majorEastAsia" w:hAnsi="Times New Roman" w:cs="Times New Roman"/>
          <w:sz w:val="24"/>
          <w:szCs w:val="24"/>
        </w:rPr>
        <w:t>.</w:t>
      </w:r>
      <w:r>
        <w:rPr>
          <w:rFonts w:ascii="Times New Roman" w:eastAsiaTheme="majorEastAsia" w:hAnsi="Times New Roman" w:cs="Times New Roman"/>
          <w:sz w:val="24"/>
          <w:szCs w:val="24"/>
        </w:rPr>
        <w:t xml:space="preserve"> </w:t>
      </w:r>
      <w:r w:rsidR="000F57E3">
        <w:rPr>
          <w:rFonts w:ascii="Times New Roman" w:eastAsiaTheme="majorEastAsia" w:hAnsi="Times New Roman" w:cs="Times New Roman"/>
          <w:sz w:val="24"/>
          <w:szCs w:val="24"/>
        </w:rPr>
        <w:t>The da</w:t>
      </w:r>
      <w:r w:rsidR="005916D8">
        <w:rPr>
          <w:rFonts w:ascii="Times New Roman" w:eastAsiaTheme="majorEastAsia" w:hAnsi="Times New Roman" w:cs="Times New Roman"/>
          <w:sz w:val="24"/>
          <w:szCs w:val="24"/>
        </w:rPr>
        <w:t>t</w:t>
      </w:r>
      <w:r w:rsidR="000F57E3">
        <w:rPr>
          <w:rFonts w:ascii="Times New Roman" w:eastAsiaTheme="majorEastAsia" w:hAnsi="Times New Roman" w:cs="Times New Roman"/>
          <w:sz w:val="24"/>
          <w:szCs w:val="24"/>
        </w:rPr>
        <w:t xml:space="preserve">a </w:t>
      </w:r>
      <w:r w:rsidR="001C3742">
        <w:rPr>
          <w:rFonts w:ascii="Times New Roman" w:eastAsiaTheme="majorEastAsia" w:hAnsi="Times New Roman" w:cs="Times New Roman"/>
          <w:sz w:val="24"/>
          <w:szCs w:val="24"/>
        </w:rPr>
        <w:t xml:space="preserve">are </w:t>
      </w:r>
      <w:r>
        <w:rPr>
          <w:rFonts w:ascii="Times New Roman" w:eastAsiaTheme="majorEastAsia" w:hAnsi="Times New Roman" w:cs="Times New Roman"/>
          <w:sz w:val="24"/>
          <w:szCs w:val="24"/>
        </w:rPr>
        <w:t xml:space="preserve">shown as mean </w:t>
      </w:r>
      <w:r w:rsidRPr="00BE2AA8">
        <w:rPr>
          <w:rFonts w:ascii="Times New Roman" w:eastAsiaTheme="majorEastAsia" w:hAnsi="Times New Roman" w:cs="Times New Roman"/>
          <w:sz w:val="24"/>
          <w:szCs w:val="24"/>
        </w:rPr>
        <w:t>±</w:t>
      </w:r>
      <w:r>
        <w:rPr>
          <w:rFonts w:ascii="Times New Roman" w:eastAsiaTheme="majorEastAsia" w:hAnsi="Times New Roman" w:cs="Times New Roman"/>
          <w:sz w:val="24"/>
          <w:szCs w:val="24"/>
        </w:rPr>
        <w:t xml:space="preserve"> SD. *</w:t>
      </w:r>
      <w:r w:rsidR="00281E06">
        <w:rPr>
          <w:rFonts w:ascii="Times New Roman" w:eastAsiaTheme="majorEastAsia" w:hAnsi="Times New Roman" w:cs="Times New Roman"/>
          <w:sz w:val="24"/>
          <w:szCs w:val="24"/>
        </w:rPr>
        <w:t xml:space="preserve"> </w:t>
      </w:r>
      <w:r w:rsidRPr="00281E06">
        <w:rPr>
          <w:rFonts w:ascii="Times New Roman" w:eastAsiaTheme="majorEastAsia" w:hAnsi="Times New Roman" w:cs="Times New Roman"/>
          <w:iCs/>
          <w:sz w:val="24"/>
          <w:szCs w:val="24"/>
        </w:rPr>
        <w:t>P</w:t>
      </w:r>
      <w:r>
        <w:rPr>
          <w:rFonts w:ascii="Times New Roman" w:eastAsiaTheme="majorEastAsia" w:hAnsi="Times New Roman" w:cs="Times New Roman"/>
          <w:sz w:val="24"/>
          <w:szCs w:val="24"/>
        </w:rPr>
        <w:t xml:space="preserve"> &lt; 0.05</w:t>
      </w:r>
    </w:p>
    <w:p w14:paraId="356F9652" w14:textId="024CD657" w:rsidR="00F72DD5" w:rsidRDefault="00F72DD5" w:rsidP="000F082B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 w:rsidRPr="00C9196D">
        <w:rPr>
          <w:rFonts w:ascii="Times New Roman" w:eastAsiaTheme="majorEastAsia" w:hAnsi="Times New Roman" w:cs="Times New Roman"/>
          <w:b/>
          <w:bCs/>
          <w:sz w:val="24"/>
          <w:szCs w:val="24"/>
        </w:rPr>
        <w:t>Figure S4.</w:t>
      </w:r>
      <w:r>
        <w:rPr>
          <w:rFonts w:ascii="Times New Roman" w:eastAsiaTheme="majorEastAsia" w:hAnsi="Times New Roman" w:cs="Times New Roman"/>
          <w:sz w:val="24"/>
          <w:szCs w:val="24"/>
        </w:rPr>
        <w:t xml:space="preserve"> The Ki67-positive cell ratio in xenografts collected from </w:t>
      </w:r>
      <w:proofErr w:type="spellStart"/>
      <w:r w:rsidR="006F1851">
        <w:rPr>
          <w:rFonts w:ascii="Times New Roman" w:eastAsiaTheme="majorEastAsia" w:hAnsi="Times New Roman" w:cs="Times New Roman"/>
          <w:sz w:val="24"/>
          <w:szCs w:val="24"/>
        </w:rPr>
        <w:t>shCtrl</w:t>
      </w:r>
      <w:proofErr w:type="spellEnd"/>
      <w:r w:rsidR="006F1851">
        <w:rPr>
          <w:rFonts w:ascii="Times New Roman" w:eastAsiaTheme="majorEastAsia" w:hAnsi="Times New Roman" w:cs="Times New Roman"/>
          <w:sz w:val="24"/>
          <w:szCs w:val="24"/>
        </w:rPr>
        <w:t xml:space="preserve"> or shPSMC2 group was evaluated.</w:t>
      </w:r>
    </w:p>
    <w:p w14:paraId="66F3AFA1" w14:textId="02D28AA0" w:rsidR="000E6DCF" w:rsidRDefault="000F082B" w:rsidP="000F082B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 w:rsidRPr="00E85AE4">
        <w:rPr>
          <w:rFonts w:ascii="Times New Roman" w:eastAsiaTheme="majorEastAsia" w:hAnsi="Times New Roman" w:cs="Times New Roman"/>
          <w:b/>
          <w:sz w:val="24"/>
          <w:szCs w:val="24"/>
        </w:rPr>
        <w:t xml:space="preserve">Figure </w:t>
      </w:r>
      <w:r w:rsidR="006F1851" w:rsidRPr="00E85AE4">
        <w:rPr>
          <w:rFonts w:ascii="Times New Roman" w:eastAsiaTheme="majorEastAsia" w:hAnsi="Times New Roman" w:cs="Times New Roman"/>
          <w:b/>
          <w:sz w:val="24"/>
          <w:szCs w:val="24"/>
        </w:rPr>
        <w:t>S</w:t>
      </w:r>
      <w:r w:rsidR="006F1851">
        <w:rPr>
          <w:rFonts w:ascii="Times New Roman" w:eastAsiaTheme="majorEastAsia" w:hAnsi="Times New Roman" w:cs="Times New Roman"/>
          <w:b/>
          <w:sz w:val="24"/>
          <w:szCs w:val="24"/>
        </w:rPr>
        <w:t>5</w:t>
      </w:r>
      <w:r w:rsidRPr="00E85AE4">
        <w:rPr>
          <w:rFonts w:ascii="Times New Roman" w:eastAsiaTheme="majorEastAsia" w:hAnsi="Times New Roman" w:cs="Times New Roman"/>
          <w:b/>
          <w:sz w:val="24"/>
          <w:szCs w:val="24"/>
        </w:rPr>
        <w:t>.</w:t>
      </w:r>
      <w:r>
        <w:rPr>
          <w:rFonts w:ascii="Times New Roman" w:eastAsiaTheme="majorEastAsia" w:hAnsi="Times New Roman" w:cs="Times New Roman"/>
          <w:sz w:val="24"/>
          <w:szCs w:val="24"/>
        </w:rPr>
        <w:t xml:space="preserve"> (A) </w:t>
      </w:r>
      <w:r w:rsidR="000F57E3">
        <w:rPr>
          <w:rFonts w:ascii="Times New Roman" w:eastAsiaTheme="majorEastAsia" w:hAnsi="Times New Roman" w:cs="Times New Roman"/>
          <w:sz w:val="24"/>
          <w:szCs w:val="24"/>
        </w:rPr>
        <w:t xml:space="preserve">A </w:t>
      </w:r>
      <w:r w:rsidR="001164B8">
        <w:rPr>
          <w:rFonts w:ascii="Times New Roman" w:eastAsiaTheme="majorEastAsia" w:hAnsi="Times New Roman" w:cs="Times New Roman"/>
          <w:sz w:val="24"/>
          <w:szCs w:val="24"/>
        </w:rPr>
        <w:t xml:space="preserve">volcano </w:t>
      </w:r>
      <w:r>
        <w:rPr>
          <w:rFonts w:ascii="Times New Roman" w:eastAsiaTheme="majorEastAsia" w:hAnsi="Times New Roman" w:cs="Times New Roman"/>
          <w:sz w:val="24"/>
          <w:szCs w:val="24"/>
        </w:rPr>
        <w:t xml:space="preserve">plot of gene expression </w:t>
      </w:r>
      <w:r w:rsidR="00634210">
        <w:rPr>
          <w:rFonts w:ascii="Times New Roman" w:eastAsiaTheme="majorEastAsia" w:hAnsi="Times New Roman" w:cs="Times New Roman"/>
          <w:sz w:val="24"/>
          <w:szCs w:val="24"/>
        </w:rPr>
        <w:t xml:space="preserve">profiles </w:t>
      </w:r>
      <w:r>
        <w:rPr>
          <w:rFonts w:ascii="Times New Roman" w:eastAsiaTheme="majorEastAsia" w:hAnsi="Times New Roman" w:cs="Times New Roman"/>
          <w:sz w:val="24"/>
          <w:szCs w:val="24"/>
        </w:rPr>
        <w:t xml:space="preserve">in </w:t>
      </w:r>
      <w:r w:rsidR="00281E06">
        <w:rPr>
          <w:rFonts w:ascii="Times New Roman" w:eastAsiaTheme="majorEastAsia" w:hAnsi="Times New Roman" w:cs="Times New Roman"/>
          <w:sz w:val="24"/>
          <w:szCs w:val="24"/>
        </w:rPr>
        <w:t>MDA-MB-231</w:t>
      </w:r>
      <w:r>
        <w:rPr>
          <w:rFonts w:ascii="Times New Roman" w:eastAsiaTheme="majorEastAsia" w:hAnsi="Times New Roman" w:cs="Times New Roman"/>
          <w:sz w:val="24"/>
          <w:szCs w:val="24"/>
        </w:rPr>
        <w:t xml:space="preserve"> cells with or without </w:t>
      </w:r>
      <w:r w:rsidR="00281E06">
        <w:rPr>
          <w:rFonts w:ascii="Times New Roman" w:eastAsiaTheme="majorEastAsia" w:hAnsi="Times New Roman" w:cs="Times New Roman"/>
          <w:sz w:val="24"/>
          <w:szCs w:val="24"/>
        </w:rPr>
        <w:t>PSMC2</w:t>
      </w:r>
      <w:r>
        <w:rPr>
          <w:rFonts w:ascii="Times New Roman" w:eastAsiaTheme="majorEastAsia" w:hAnsi="Times New Roman" w:cs="Times New Roman"/>
          <w:sz w:val="24"/>
          <w:szCs w:val="24"/>
        </w:rPr>
        <w:t xml:space="preserve"> knockdown.</w:t>
      </w:r>
      <w:r w:rsidR="001164B8">
        <w:rPr>
          <w:rFonts w:ascii="Times New Roman" w:eastAsiaTheme="majorEastAsia" w:hAnsi="Times New Roman" w:cs="Times New Roman"/>
          <w:sz w:val="24"/>
          <w:szCs w:val="24"/>
        </w:rPr>
        <w:t xml:space="preserve"> </w:t>
      </w:r>
      <w:r w:rsidR="00FC55C6">
        <w:rPr>
          <w:rFonts w:ascii="Times New Roman" w:eastAsiaTheme="majorEastAsia" w:hAnsi="Times New Roman" w:cs="Times New Roman"/>
          <w:sz w:val="24"/>
          <w:szCs w:val="24"/>
        </w:rPr>
        <w:t xml:space="preserve">The green </w:t>
      </w:r>
      <w:r w:rsidR="001164B8">
        <w:rPr>
          <w:rFonts w:ascii="Times New Roman" w:eastAsiaTheme="majorEastAsia" w:hAnsi="Times New Roman" w:cs="Times New Roman"/>
          <w:sz w:val="24"/>
          <w:szCs w:val="24"/>
        </w:rPr>
        <w:t>dots represent the downregulated DEGs.</w:t>
      </w:r>
      <w:r w:rsidR="001164B8" w:rsidRPr="001164B8">
        <w:rPr>
          <w:rFonts w:ascii="Times New Roman" w:eastAsiaTheme="majorEastAsia" w:hAnsi="Times New Roman" w:cs="Times New Roman"/>
          <w:sz w:val="24"/>
          <w:szCs w:val="24"/>
        </w:rPr>
        <w:t xml:space="preserve"> </w:t>
      </w:r>
      <w:r w:rsidR="00FC55C6">
        <w:rPr>
          <w:rFonts w:ascii="Times New Roman" w:eastAsiaTheme="majorEastAsia" w:hAnsi="Times New Roman" w:cs="Times New Roman"/>
          <w:sz w:val="24"/>
          <w:szCs w:val="24"/>
        </w:rPr>
        <w:t xml:space="preserve">The red </w:t>
      </w:r>
      <w:r w:rsidR="001164B8">
        <w:rPr>
          <w:rFonts w:ascii="Times New Roman" w:eastAsiaTheme="majorEastAsia" w:hAnsi="Times New Roman" w:cs="Times New Roman"/>
          <w:sz w:val="24"/>
          <w:szCs w:val="24"/>
        </w:rPr>
        <w:t>dots represent the upregulated DEGs.</w:t>
      </w:r>
      <w:r>
        <w:rPr>
          <w:rFonts w:ascii="Times New Roman" w:eastAsiaTheme="majorEastAsia" w:hAnsi="Times New Roman" w:cs="Times New Roman"/>
          <w:sz w:val="24"/>
          <w:szCs w:val="24"/>
        </w:rPr>
        <w:t xml:space="preserve"> (</w:t>
      </w:r>
      <w:r w:rsidR="001164B8">
        <w:rPr>
          <w:rFonts w:ascii="Times New Roman" w:eastAsiaTheme="majorEastAsia" w:hAnsi="Times New Roman" w:cs="Times New Roman"/>
          <w:sz w:val="24"/>
          <w:szCs w:val="24"/>
        </w:rPr>
        <w:t>B</w:t>
      </w:r>
      <w:r>
        <w:rPr>
          <w:rFonts w:ascii="Times New Roman" w:eastAsiaTheme="majorEastAsia" w:hAnsi="Times New Roman" w:cs="Times New Roman"/>
          <w:sz w:val="24"/>
          <w:szCs w:val="24"/>
        </w:rPr>
        <w:t>) The enrichment of the DEGs in canonical signaling pathways was analyzed by IPA. (</w:t>
      </w:r>
      <w:r w:rsidR="001164B8">
        <w:rPr>
          <w:rFonts w:ascii="Times New Roman" w:eastAsiaTheme="majorEastAsia" w:hAnsi="Times New Roman" w:cs="Times New Roman"/>
          <w:sz w:val="24"/>
          <w:szCs w:val="24"/>
        </w:rPr>
        <w:t>C</w:t>
      </w:r>
      <w:r>
        <w:rPr>
          <w:rFonts w:ascii="Times New Roman" w:eastAsiaTheme="majorEastAsia" w:hAnsi="Times New Roman" w:cs="Times New Roman"/>
          <w:sz w:val="24"/>
          <w:szCs w:val="24"/>
        </w:rPr>
        <w:t>) The enrichment of the DEGs in IPA disease and function was analyzed by IPA.</w:t>
      </w:r>
      <w:r w:rsidR="000B585C">
        <w:rPr>
          <w:rFonts w:ascii="Times New Roman" w:eastAsiaTheme="majorEastAsia" w:hAnsi="Times New Roman" w:cs="Times New Roman"/>
          <w:sz w:val="24"/>
          <w:szCs w:val="24"/>
        </w:rPr>
        <w:t xml:space="preserve"> (D) After the transfection of </w:t>
      </w:r>
      <w:proofErr w:type="spellStart"/>
      <w:r w:rsidR="000B585C">
        <w:rPr>
          <w:rFonts w:ascii="Times New Roman" w:eastAsiaTheme="majorEastAsia" w:hAnsi="Times New Roman" w:cs="Times New Roman"/>
          <w:sz w:val="24"/>
          <w:szCs w:val="24"/>
        </w:rPr>
        <w:t>shCtrl</w:t>
      </w:r>
      <w:proofErr w:type="spellEnd"/>
      <w:r w:rsidR="000B585C">
        <w:rPr>
          <w:rFonts w:ascii="Times New Roman" w:eastAsiaTheme="majorEastAsia" w:hAnsi="Times New Roman" w:cs="Times New Roman"/>
          <w:sz w:val="24"/>
          <w:szCs w:val="24"/>
        </w:rPr>
        <w:t xml:space="preserve"> or shPSMC2, cells were subjected to </w:t>
      </w:r>
      <w:r w:rsidR="00722985">
        <w:rPr>
          <w:rFonts w:ascii="Times New Roman" w:eastAsiaTheme="majorEastAsia" w:hAnsi="Times New Roman" w:cs="Times New Roman"/>
          <w:sz w:val="24"/>
          <w:szCs w:val="24"/>
        </w:rPr>
        <w:t xml:space="preserve">western blot analysis or </w:t>
      </w:r>
      <w:r w:rsidR="000B585C">
        <w:rPr>
          <w:rFonts w:ascii="Times New Roman" w:eastAsiaTheme="majorEastAsia" w:hAnsi="Times New Roman" w:cs="Times New Roman"/>
          <w:sz w:val="24"/>
          <w:szCs w:val="24"/>
        </w:rPr>
        <w:t xml:space="preserve">immunoprecipitation with anti-PLAU. Western blot analysis for </w:t>
      </w:r>
      <w:r w:rsidR="000B585C" w:rsidRPr="000B585C">
        <w:rPr>
          <w:rFonts w:ascii="Times New Roman" w:eastAsiaTheme="majorEastAsia" w:hAnsi="Times New Roman" w:cs="Times New Roman"/>
          <w:sz w:val="24"/>
          <w:szCs w:val="24"/>
        </w:rPr>
        <w:t>ubiquitinated proteins and ubiquitinated PLAU</w:t>
      </w:r>
      <w:r w:rsidR="000B585C">
        <w:rPr>
          <w:rFonts w:ascii="Times New Roman" w:eastAsiaTheme="majorEastAsia" w:hAnsi="Times New Roman" w:cs="Times New Roman"/>
          <w:sz w:val="24"/>
          <w:szCs w:val="24"/>
        </w:rPr>
        <w:t xml:space="preserve"> was performed to show the effects of PSMC2 knockdown.</w:t>
      </w:r>
      <w:r w:rsidR="00313C43">
        <w:rPr>
          <w:rFonts w:ascii="Times New Roman" w:eastAsiaTheme="majorEastAsia" w:hAnsi="Times New Roman" w:cs="Times New Roman"/>
          <w:sz w:val="24"/>
          <w:szCs w:val="24"/>
        </w:rPr>
        <w:t xml:space="preserve"> The data are shown as mean </w:t>
      </w:r>
      <w:r w:rsidR="00313C43" w:rsidRPr="00BE2AA8">
        <w:rPr>
          <w:rFonts w:ascii="Times New Roman" w:eastAsiaTheme="majorEastAsia" w:hAnsi="Times New Roman" w:cs="Times New Roman"/>
          <w:sz w:val="24"/>
          <w:szCs w:val="24"/>
        </w:rPr>
        <w:t>±</w:t>
      </w:r>
      <w:r w:rsidR="00313C43">
        <w:rPr>
          <w:rFonts w:ascii="Times New Roman" w:eastAsiaTheme="majorEastAsia" w:hAnsi="Times New Roman" w:cs="Times New Roman"/>
          <w:sz w:val="24"/>
          <w:szCs w:val="24"/>
        </w:rPr>
        <w:t xml:space="preserve"> SD</w:t>
      </w:r>
      <w:r w:rsidR="00313C43" w:rsidRPr="008D3C74">
        <w:rPr>
          <w:rFonts w:ascii="Times New Roman" w:hAnsi="Times New Roman" w:cs="Times New Roman"/>
          <w:sz w:val="24"/>
          <w:szCs w:val="24"/>
        </w:rPr>
        <w:t xml:space="preserve"> (n ≥ 3)</w:t>
      </w:r>
      <w:r w:rsidR="00313C43">
        <w:rPr>
          <w:rFonts w:ascii="Times New Roman" w:eastAsiaTheme="majorEastAsia" w:hAnsi="Times New Roman" w:cs="Times New Roman"/>
          <w:sz w:val="24"/>
          <w:szCs w:val="24"/>
        </w:rPr>
        <w:t xml:space="preserve">. * </w:t>
      </w:r>
      <w:r w:rsidR="00313C43" w:rsidRPr="00281E06">
        <w:rPr>
          <w:rFonts w:ascii="Times New Roman" w:eastAsiaTheme="majorEastAsia" w:hAnsi="Times New Roman" w:cs="Times New Roman"/>
          <w:iCs/>
          <w:sz w:val="24"/>
          <w:szCs w:val="24"/>
        </w:rPr>
        <w:t>P</w:t>
      </w:r>
      <w:r w:rsidR="00313C43">
        <w:rPr>
          <w:rFonts w:ascii="Times New Roman" w:eastAsiaTheme="majorEastAsia" w:hAnsi="Times New Roman" w:cs="Times New Roman"/>
          <w:sz w:val="24"/>
          <w:szCs w:val="24"/>
        </w:rPr>
        <w:t xml:space="preserve"> &lt; 0.05</w:t>
      </w:r>
    </w:p>
    <w:p w14:paraId="463F3DC1" w14:textId="6B47435E" w:rsidR="006C30E4" w:rsidRDefault="006C30E4" w:rsidP="006C30E4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 w:rsidRPr="00E85AE4">
        <w:rPr>
          <w:rFonts w:ascii="Times New Roman" w:eastAsiaTheme="majorEastAsia" w:hAnsi="Times New Roman" w:cs="Times New Roman"/>
          <w:b/>
          <w:sz w:val="24"/>
          <w:szCs w:val="24"/>
        </w:rPr>
        <w:t xml:space="preserve">Figure </w:t>
      </w:r>
      <w:r w:rsidR="006F1851" w:rsidRPr="00E85AE4">
        <w:rPr>
          <w:rFonts w:ascii="Times New Roman" w:eastAsiaTheme="majorEastAsia" w:hAnsi="Times New Roman" w:cs="Times New Roman"/>
          <w:b/>
          <w:sz w:val="24"/>
          <w:szCs w:val="24"/>
        </w:rPr>
        <w:t>S</w:t>
      </w:r>
      <w:r w:rsidR="006F1851">
        <w:rPr>
          <w:rFonts w:ascii="Times New Roman" w:eastAsiaTheme="majorEastAsia" w:hAnsi="Times New Roman" w:cs="Times New Roman"/>
          <w:b/>
          <w:sz w:val="24"/>
          <w:szCs w:val="24"/>
        </w:rPr>
        <w:t>6</w:t>
      </w:r>
      <w:r w:rsidRPr="00E85AE4">
        <w:rPr>
          <w:rFonts w:ascii="Times New Roman" w:eastAsiaTheme="majorEastAsia" w:hAnsi="Times New Roman" w:cs="Times New Roman"/>
          <w:b/>
          <w:sz w:val="24"/>
          <w:szCs w:val="24"/>
        </w:rPr>
        <w:t>.</w:t>
      </w:r>
      <w:r>
        <w:rPr>
          <w:rFonts w:ascii="Times New Roman" w:eastAsiaTheme="majorEastAsia" w:hAnsi="Times New Roman" w:cs="Times New Roman"/>
          <w:sz w:val="24"/>
          <w:szCs w:val="24"/>
        </w:rPr>
        <w:t xml:space="preserve"> The transfection efficiencies of </w:t>
      </w:r>
      <w:proofErr w:type="spellStart"/>
      <w:r>
        <w:rPr>
          <w:rFonts w:ascii="Times New Roman" w:eastAsiaTheme="majorEastAsia" w:hAnsi="Times New Roman" w:cs="Times New Roman"/>
          <w:sz w:val="24"/>
          <w:szCs w:val="24"/>
        </w:rPr>
        <w:t>shCtrl</w:t>
      </w:r>
      <w:proofErr w:type="spellEnd"/>
      <w:r>
        <w:rPr>
          <w:rFonts w:ascii="Times New Roman" w:eastAsiaTheme="majorEastAsia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Theme="majorEastAsia" w:hAnsi="Times New Roman" w:cs="Times New Roman"/>
          <w:sz w:val="24"/>
          <w:szCs w:val="24"/>
        </w:rPr>
        <w:t>sh</w:t>
      </w:r>
      <w:r w:rsidR="00313C43">
        <w:rPr>
          <w:rFonts w:ascii="Times New Roman" w:eastAsiaTheme="majorEastAsia" w:hAnsi="Times New Roman" w:cs="Times New Roman"/>
          <w:sz w:val="24"/>
          <w:szCs w:val="24"/>
        </w:rPr>
        <w:t>PLAU</w:t>
      </w:r>
      <w:proofErr w:type="spellEnd"/>
      <w:r>
        <w:rPr>
          <w:rFonts w:ascii="Times New Roman" w:eastAsiaTheme="majorEastAsia" w:hAnsi="Times New Roman" w:cs="Times New Roman"/>
          <w:sz w:val="24"/>
          <w:szCs w:val="24"/>
        </w:rPr>
        <w:t xml:space="preserve">, </w:t>
      </w:r>
      <w:r w:rsidR="00313C43">
        <w:rPr>
          <w:rFonts w:ascii="Times New Roman" w:eastAsiaTheme="majorEastAsia" w:hAnsi="Times New Roman" w:cs="Times New Roman"/>
          <w:sz w:val="24"/>
          <w:szCs w:val="24"/>
        </w:rPr>
        <w:t>shPSMC2</w:t>
      </w:r>
      <w:r>
        <w:rPr>
          <w:rFonts w:ascii="Times New Roman" w:eastAsiaTheme="majorEastAsia" w:hAnsi="Times New Roman" w:cs="Times New Roman"/>
          <w:sz w:val="24"/>
          <w:szCs w:val="24"/>
        </w:rPr>
        <w:t>+</w:t>
      </w:r>
      <w:r w:rsidR="00313C43">
        <w:rPr>
          <w:rFonts w:ascii="Times New Roman" w:eastAsiaTheme="majorEastAsia" w:hAnsi="Times New Roman" w:cs="Times New Roman"/>
          <w:sz w:val="24"/>
          <w:szCs w:val="24"/>
        </w:rPr>
        <w:t>shPLAU</w:t>
      </w:r>
      <w:r>
        <w:rPr>
          <w:rFonts w:ascii="Times New Roman" w:eastAsiaTheme="majorEastAsia" w:hAnsi="Times New Roman" w:cs="Times New Roman"/>
          <w:sz w:val="24"/>
          <w:szCs w:val="24"/>
        </w:rPr>
        <w:t xml:space="preserve"> in </w:t>
      </w:r>
      <w:r w:rsidR="00313C43">
        <w:rPr>
          <w:rFonts w:ascii="Times New Roman" w:eastAsiaTheme="majorEastAsia" w:hAnsi="Times New Roman" w:cs="Times New Roman"/>
          <w:sz w:val="24"/>
          <w:szCs w:val="24"/>
        </w:rPr>
        <w:t>MDA-MB-231</w:t>
      </w:r>
      <w:r>
        <w:rPr>
          <w:rFonts w:ascii="Times New Roman" w:eastAsiaTheme="majorEastAsia" w:hAnsi="Times New Roman" w:cs="Times New Roman"/>
          <w:sz w:val="24"/>
          <w:szCs w:val="24"/>
        </w:rPr>
        <w:t xml:space="preserve"> cells were evaluated through observing the </w:t>
      </w:r>
      <w:r w:rsidR="00DF62D1">
        <w:rPr>
          <w:rFonts w:ascii="Times New Roman" w:eastAsiaTheme="majorEastAsia" w:hAnsi="Times New Roman" w:cs="Times New Roman"/>
          <w:sz w:val="24"/>
          <w:szCs w:val="24"/>
        </w:rPr>
        <w:t xml:space="preserve">GFP </w:t>
      </w:r>
      <w:r>
        <w:rPr>
          <w:rFonts w:ascii="Times New Roman" w:eastAsiaTheme="majorEastAsia" w:hAnsi="Times New Roman" w:cs="Times New Roman"/>
          <w:sz w:val="24"/>
          <w:szCs w:val="24"/>
        </w:rPr>
        <w:t xml:space="preserve">fluorescence of </w:t>
      </w:r>
      <w:r w:rsidR="00DF62D1">
        <w:rPr>
          <w:rFonts w:ascii="Times New Roman" w:eastAsiaTheme="majorEastAsia" w:hAnsi="Times New Roman" w:cs="Times New Roman"/>
          <w:sz w:val="24"/>
          <w:szCs w:val="24"/>
        </w:rPr>
        <w:t xml:space="preserve">the </w:t>
      </w:r>
      <w:r>
        <w:rPr>
          <w:rFonts w:ascii="Times New Roman" w:eastAsiaTheme="majorEastAsia" w:hAnsi="Times New Roman" w:cs="Times New Roman"/>
          <w:sz w:val="24"/>
          <w:szCs w:val="24"/>
        </w:rPr>
        <w:t>lentivirus vector.</w:t>
      </w:r>
    </w:p>
    <w:p w14:paraId="2F8EAC56" w14:textId="27F063E9" w:rsidR="00313C43" w:rsidRDefault="00313C43" w:rsidP="006C30E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13C43">
        <w:rPr>
          <w:rFonts w:ascii="Times New Roman" w:eastAsiaTheme="majorEastAsia" w:hAnsi="Times New Roman" w:cs="Times New Roman" w:hint="eastAsia"/>
          <w:b/>
          <w:bCs/>
          <w:sz w:val="24"/>
          <w:szCs w:val="24"/>
        </w:rPr>
        <w:t>F</w:t>
      </w:r>
      <w:r w:rsidRPr="00313C43"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igure </w:t>
      </w:r>
      <w:r w:rsidR="006F1851" w:rsidRPr="00313C43">
        <w:rPr>
          <w:rFonts w:ascii="Times New Roman" w:eastAsiaTheme="majorEastAsia" w:hAnsi="Times New Roman" w:cs="Times New Roman"/>
          <w:b/>
          <w:bCs/>
          <w:sz w:val="24"/>
          <w:szCs w:val="24"/>
        </w:rPr>
        <w:t>S</w:t>
      </w:r>
      <w:r w:rsidR="006F1851">
        <w:rPr>
          <w:rFonts w:ascii="Times New Roman" w:eastAsiaTheme="majorEastAsia" w:hAnsi="Times New Roman" w:cs="Times New Roman"/>
          <w:b/>
          <w:bCs/>
          <w:sz w:val="24"/>
          <w:szCs w:val="24"/>
        </w:rPr>
        <w:t>7</w:t>
      </w:r>
      <w:r w:rsidRPr="00313C43">
        <w:rPr>
          <w:rFonts w:ascii="Times New Roman" w:eastAsiaTheme="majorEastAsia" w:hAnsi="Times New Roman" w:cs="Times New Roman"/>
          <w:b/>
          <w:bCs/>
          <w:sz w:val="24"/>
          <w:szCs w:val="24"/>
        </w:rPr>
        <w:t>.</w:t>
      </w:r>
      <w:r>
        <w:rPr>
          <w:rFonts w:ascii="Times New Roman" w:eastAsiaTheme="majorEastAsia" w:hAnsi="Times New Roman" w:cs="Times New Roman"/>
          <w:sz w:val="24"/>
          <w:szCs w:val="24"/>
        </w:rPr>
        <w:t xml:space="preserve"> The mRNA and protein expression of PLAU and PSMC2 in </w:t>
      </w:r>
      <w:proofErr w:type="spellStart"/>
      <w:r>
        <w:rPr>
          <w:rFonts w:ascii="Times New Roman" w:eastAsiaTheme="majorEastAsia" w:hAnsi="Times New Roman" w:cs="Times New Roman"/>
          <w:sz w:val="24"/>
          <w:szCs w:val="24"/>
        </w:rPr>
        <w:t>shCtrl</w:t>
      </w:r>
      <w:proofErr w:type="spellEnd"/>
      <w:r>
        <w:rPr>
          <w:rFonts w:ascii="Times New Roman" w:eastAsiaTheme="majorEastAsia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Theme="majorEastAsia" w:hAnsi="Times New Roman" w:cs="Times New Roman"/>
          <w:sz w:val="24"/>
          <w:szCs w:val="24"/>
        </w:rPr>
        <w:t>shPLAU</w:t>
      </w:r>
      <w:proofErr w:type="spellEnd"/>
      <w:r>
        <w:rPr>
          <w:rFonts w:ascii="Times New Roman" w:eastAsiaTheme="majorEastAsia" w:hAnsi="Times New Roman" w:cs="Times New Roman"/>
          <w:sz w:val="24"/>
          <w:szCs w:val="24"/>
        </w:rPr>
        <w:t xml:space="preserve"> and shPSMC2+shPLAU groups of MDA-MB-231 cells was detected by qPCR (A, B) and western blotting (C), respectively. The data are shown as mean </w:t>
      </w:r>
      <w:r w:rsidRPr="00BE2AA8">
        <w:rPr>
          <w:rFonts w:ascii="Times New Roman" w:eastAsiaTheme="majorEastAsia" w:hAnsi="Times New Roman" w:cs="Times New Roman"/>
          <w:sz w:val="24"/>
          <w:szCs w:val="24"/>
        </w:rPr>
        <w:t>±</w:t>
      </w:r>
      <w:r>
        <w:rPr>
          <w:rFonts w:ascii="Times New Roman" w:eastAsiaTheme="majorEastAsia" w:hAnsi="Times New Roman" w:cs="Times New Roman"/>
          <w:sz w:val="24"/>
          <w:szCs w:val="24"/>
        </w:rPr>
        <w:t xml:space="preserve"> SD</w:t>
      </w:r>
      <w:r w:rsidRPr="008D3C74">
        <w:rPr>
          <w:rFonts w:ascii="Times New Roman" w:hAnsi="Times New Roman" w:cs="Times New Roman"/>
          <w:sz w:val="24"/>
          <w:szCs w:val="24"/>
        </w:rPr>
        <w:t xml:space="preserve"> (n ≥ 3)</w:t>
      </w:r>
      <w:r>
        <w:rPr>
          <w:rFonts w:ascii="Times New Roman" w:eastAsiaTheme="majorEastAsia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** P </w:t>
      </w:r>
      <w:r>
        <w:rPr>
          <w:rFonts w:ascii="Times New Roman" w:hAnsi="Times New Roman" w:cs="Times New Roman" w:hint="eastAsia"/>
          <w:sz w:val="24"/>
          <w:szCs w:val="24"/>
        </w:rPr>
        <w:t>&lt;</w:t>
      </w:r>
      <w:r>
        <w:rPr>
          <w:rFonts w:ascii="Times New Roman" w:hAnsi="Times New Roman" w:cs="Times New Roman"/>
          <w:sz w:val="24"/>
          <w:szCs w:val="24"/>
        </w:rPr>
        <w:t xml:space="preserve"> 0.01, *** P &lt; </w:t>
      </w:r>
      <w:r>
        <w:rPr>
          <w:rFonts w:ascii="Times New Roman" w:hAnsi="Times New Roman" w:cs="Times New Roman"/>
          <w:sz w:val="24"/>
          <w:szCs w:val="24"/>
        </w:rPr>
        <w:lastRenderedPageBreak/>
        <w:t>0.001</w:t>
      </w:r>
    </w:p>
    <w:p w14:paraId="5CF8C78A" w14:textId="4057319C" w:rsidR="006F1851" w:rsidRDefault="006F1851" w:rsidP="006F1851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 w:rsidRPr="00313C43">
        <w:rPr>
          <w:rFonts w:ascii="Times New Roman" w:eastAsiaTheme="majorEastAsia" w:hAnsi="Times New Roman" w:cs="Times New Roman" w:hint="eastAsia"/>
          <w:b/>
          <w:bCs/>
          <w:sz w:val="24"/>
          <w:szCs w:val="24"/>
        </w:rPr>
        <w:t>F</w:t>
      </w:r>
      <w:r w:rsidRPr="00313C43">
        <w:rPr>
          <w:rFonts w:ascii="Times New Roman" w:eastAsiaTheme="majorEastAsia" w:hAnsi="Times New Roman" w:cs="Times New Roman"/>
          <w:b/>
          <w:bCs/>
          <w:sz w:val="24"/>
          <w:szCs w:val="24"/>
        </w:rPr>
        <w:t>igure S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>8</w:t>
      </w:r>
      <w:r w:rsidRPr="00313C43">
        <w:rPr>
          <w:rFonts w:ascii="Times New Roman" w:eastAsiaTheme="majorEastAsia" w:hAnsi="Times New Roman" w:cs="Times New Roman"/>
          <w:b/>
          <w:bCs/>
          <w:sz w:val="24"/>
          <w:szCs w:val="24"/>
        </w:rPr>
        <w:t>.</w:t>
      </w:r>
      <w:r>
        <w:rPr>
          <w:rFonts w:ascii="Times New Roman" w:eastAsiaTheme="majorEastAsia" w:hAnsi="Times New Roman" w:cs="Times New Roman"/>
          <w:sz w:val="24"/>
          <w:szCs w:val="24"/>
        </w:rPr>
        <w:t xml:space="preserve"> The mRNA and protein expression of PLAU and PSMC2 in </w:t>
      </w:r>
      <w:proofErr w:type="spellStart"/>
      <w:r w:rsidR="0028344F" w:rsidRPr="0028344F">
        <w:rPr>
          <w:rFonts w:ascii="Times New Roman" w:eastAsiaTheme="majorEastAsia" w:hAnsi="Times New Roman" w:cs="Times New Roman"/>
          <w:sz w:val="24"/>
          <w:szCs w:val="24"/>
        </w:rPr>
        <w:t>shCtrl+Vector</w:t>
      </w:r>
      <w:proofErr w:type="spellEnd"/>
      <w:r w:rsidR="0028344F">
        <w:rPr>
          <w:rFonts w:ascii="Times New Roman" w:eastAsiaTheme="majorEastAsia" w:hAnsi="Times New Roman" w:cs="Times New Roman"/>
          <w:sz w:val="24"/>
          <w:szCs w:val="24"/>
        </w:rPr>
        <w:t xml:space="preserve">, </w:t>
      </w:r>
      <w:proofErr w:type="spellStart"/>
      <w:r w:rsidR="0028344F" w:rsidRPr="0028344F">
        <w:rPr>
          <w:rFonts w:ascii="Times New Roman" w:eastAsiaTheme="majorEastAsia" w:hAnsi="Times New Roman" w:cs="Times New Roman"/>
          <w:sz w:val="24"/>
          <w:szCs w:val="24"/>
        </w:rPr>
        <w:t>PLAU+shCtrl</w:t>
      </w:r>
      <w:proofErr w:type="spellEnd"/>
      <w:r w:rsidR="0028344F">
        <w:rPr>
          <w:rFonts w:ascii="Times New Roman" w:eastAsiaTheme="majorEastAsia" w:hAnsi="Times New Roman" w:cs="Times New Roman"/>
          <w:sz w:val="24"/>
          <w:szCs w:val="24"/>
        </w:rPr>
        <w:t xml:space="preserve">, </w:t>
      </w:r>
      <w:r w:rsidR="0028344F" w:rsidRPr="0028344F">
        <w:rPr>
          <w:rFonts w:ascii="Times New Roman" w:eastAsiaTheme="majorEastAsia" w:hAnsi="Times New Roman" w:cs="Times New Roman"/>
          <w:sz w:val="24"/>
          <w:szCs w:val="24"/>
        </w:rPr>
        <w:t>shPSMC2+Vector</w:t>
      </w:r>
      <w:r w:rsidR="0028344F">
        <w:rPr>
          <w:rFonts w:ascii="Times New Roman" w:eastAsiaTheme="majorEastAsia" w:hAnsi="Times New Roman" w:cs="Times New Roman"/>
          <w:sz w:val="24"/>
          <w:szCs w:val="24"/>
        </w:rPr>
        <w:t xml:space="preserve"> and </w:t>
      </w:r>
      <w:r w:rsidR="0028344F" w:rsidRPr="0028344F">
        <w:rPr>
          <w:rFonts w:ascii="Times New Roman" w:eastAsiaTheme="majorEastAsia" w:hAnsi="Times New Roman" w:cs="Times New Roman"/>
          <w:sz w:val="24"/>
          <w:szCs w:val="24"/>
        </w:rPr>
        <w:t>shPSMC2+PLAU</w:t>
      </w:r>
      <w:r>
        <w:rPr>
          <w:rFonts w:ascii="Times New Roman" w:eastAsiaTheme="majorEastAsia" w:hAnsi="Times New Roman" w:cs="Times New Roman"/>
          <w:sz w:val="24"/>
          <w:szCs w:val="24"/>
        </w:rPr>
        <w:t xml:space="preserve"> groups of MDA-MB-231 cells was detected by qPCR (A, B) and western blotting (C), respectively. The data are shown as mean </w:t>
      </w:r>
      <w:r w:rsidRPr="00BE2AA8">
        <w:rPr>
          <w:rFonts w:ascii="Times New Roman" w:eastAsiaTheme="majorEastAsia" w:hAnsi="Times New Roman" w:cs="Times New Roman"/>
          <w:sz w:val="24"/>
          <w:szCs w:val="24"/>
        </w:rPr>
        <w:t>±</w:t>
      </w:r>
      <w:r>
        <w:rPr>
          <w:rFonts w:ascii="Times New Roman" w:eastAsiaTheme="majorEastAsia" w:hAnsi="Times New Roman" w:cs="Times New Roman"/>
          <w:sz w:val="24"/>
          <w:szCs w:val="24"/>
        </w:rPr>
        <w:t xml:space="preserve"> SD</w:t>
      </w:r>
      <w:r w:rsidRPr="008D3C74">
        <w:rPr>
          <w:rFonts w:ascii="Times New Roman" w:hAnsi="Times New Roman" w:cs="Times New Roman"/>
          <w:sz w:val="24"/>
          <w:szCs w:val="24"/>
        </w:rPr>
        <w:t xml:space="preserve"> (n ≥ 3)</w:t>
      </w:r>
      <w:r>
        <w:rPr>
          <w:rFonts w:ascii="Times New Roman" w:eastAsiaTheme="majorEastAsia" w:hAnsi="Times New Roman" w:cs="Times New Roman"/>
          <w:sz w:val="24"/>
          <w:szCs w:val="24"/>
        </w:rPr>
        <w:t xml:space="preserve">. </w:t>
      </w:r>
      <w:r w:rsidR="0028344F">
        <w:rPr>
          <w:rFonts w:ascii="Times New Roman" w:eastAsiaTheme="majorEastAsia" w:hAnsi="Times New Roman" w:cs="Times New Roman"/>
          <w:sz w:val="24"/>
          <w:szCs w:val="24"/>
        </w:rPr>
        <w:t xml:space="preserve">* </w:t>
      </w:r>
      <w:r w:rsidR="0028344F" w:rsidRPr="00281E06">
        <w:rPr>
          <w:rFonts w:ascii="Times New Roman" w:eastAsiaTheme="majorEastAsia" w:hAnsi="Times New Roman" w:cs="Times New Roman"/>
          <w:iCs/>
          <w:sz w:val="24"/>
          <w:szCs w:val="24"/>
        </w:rPr>
        <w:t>P</w:t>
      </w:r>
      <w:r w:rsidR="0028344F">
        <w:rPr>
          <w:rFonts w:ascii="Times New Roman" w:eastAsiaTheme="majorEastAsia" w:hAnsi="Times New Roman" w:cs="Times New Roman"/>
          <w:sz w:val="24"/>
          <w:szCs w:val="24"/>
        </w:rPr>
        <w:t xml:space="preserve"> &lt; 0.05, </w:t>
      </w:r>
      <w:r>
        <w:rPr>
          <w:rFonts w:ascii="Times New Roman" w:hAnsi="Times New Roman" w:cs="Times New Roman"/>
          <w:sz w:val="24"/>
          <w:szCs w:val="24"/>
        </w:rPr>
        <w:t xml:space="preserve">** P </w:t>
      </w:r>
      <w:r>
        <w:rPr>
          <w:rFonts w:ascii="Times New Roman" w:hAnsi="Times New Roman" w:cs="Times New Roman" w:hint="eastAsia"/>
          <w:sz w:val="24"/>
          <w:szCs w:val="24"/>
        </w:rPr>
        <w:t>&lt;</w:t>
      </w:r>
      <w:r>
        <w:rPr>
          <w:rFonts w:ascii="Times New Roman" w:hAnsi="Times New Roman" w:cs="Times New Roman"/>
          <w:sz w:val="24"/>
          <w:szCs w:val="24"/>
        </w:rPr>
        <w:t xml:space="preserve"> 0.01, *** P &lt; 0.001</w:t>
      </w:r>
    </w:p>
    <w:p w14:paraId="2C47E3BE" w14:textId="77777777" w:rsidR="006F1851" w:rsidRDefault="006F1851" w:rsidP="006C30E4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</w:p>
    <w:p w14:paraId="0330DDDF" w14:textId="77777777" w:rsidR="00D2696B" w:rsidRPr="00520925" w:rsidRDefault="00D2696B" w:rsidP="00520925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</w:p>
    <w:sectPr w:rsidR="00D2696B" w:rsidRPr="00520925" w:rsidSect="00330F7C">
      <w:pgSz w:w="11906" w:h="16838"/>
      <w:pgMar w:top="1588" w:right="1418" w:bottom="1418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2F58407" w14:textId="77777777" w:rsidR="00B11D99" w:rsidRDefault="00B11D99" w:rsidP="00086447">
      <w:r>
        <w:separator/>
      </w:r>
    </w:p>
  </w:endnote>
  <w:endnote w:type="continuationSeparator" w:id="0">
    <w:p w14:paraId="3D8DD56A" w14:textId="77777777" w:rsidR="00B11D99" w:rsidRDefault="00B11D99" w:rsidP="000864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E8E4465" w14:textId="77777777" w:rsidR="00B11D99" w:rsidRDefault="00B11D99" w:rsidP="00086447">
      <w:r>
        <w:separator/>
      </w:r>
    </w:p>
  </w:footnote>
  <w:footnote w:type="continuationSeparator" w:id="0">
    <w:p w14:paraId="589BFCA0" w14:textId="77777777" w:rsidR="00B11D99" w:rsidRDefault="00B11D99" w:rsidP="000864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86F0990"/>
    <w:multiLevelType w:val="hybridMultilevel"/>
    <w:tmpl w:val="08FCE658"/>
    <w:lvl w:ilvl="0" w:tplc="83220F86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bordersDoNotSurroundHeader/>
  <w:bordersDoNotSurroundFooter/>
  <w:proofState w:spelling="clean" w:grammar="clean"/>
  <w:trackRevision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NE.Ref{5FF354C8-CDF6-4DCF-820D-95263DB707AE}" w:val=" ADDIN NE.Ref.{5FF354C8-CDF6-4DCF-820D-95263DB707AE}&lt;Citation&gt;&lt;Group&gt;&lt;References&gt;&lt;Item&gt;&lt;ID&gt;4280&lt;/ID&gt;&lt;UID&gt;{F80764EC-E596-4B66-8F48-59D32FC0C053}&lt;/UID&gt;&lt;Title&gt;Combination of necroptosis and apoptosis inhibition enhances cardioprotection against myocardial ischemia–reperfusion injury&lt;/Title&gt;&lt;Template&gt;Journal Article&lt;/Template&gt;&lt;Star&gt;1&lt;/Star&gt;&lt;Tag&gt;0&lt;/Tag&gt;&lt;Author&gt;Koshinuma, Shizuka; Miyamae, Masami; Kaneda, Kazuhiro; Kotani, Junichiro; Figueredo, Vincent M&lt;/Author&gt;&lt;Year&gt;2013&lt;/Year&gt;&lt;Details&gt;&lt;_date_display&gt;2013&lt;/_date_display&gt;&lt;_date&gt;2013-01-01&lt;/_date&gt;&lt;_issue&gt;2&lt;/_issue&gt;&lt;_journal&gt;Journal of Anesthesia&lt;/_journal&gt;&lt;_pages&gt;235-241&lt;/_pages&gt;&lt;_volume&gt;28&lt;/_volume&gt;&lt;_created&gt;62820581&lt;/_created&gt;&lt;_modified&gt;62820581&lt;/_modified&gt;&lt;_impact_factor&gt;   1.454&lt;/_impact_factor&gt;&lt;_collection_scope&gt;SCIE&lt;/_collection_scope&gt;&lt;/Details&gt;&lt;Extra&gt;&lt;DBUID&gt;{FC0B0B99-27A3-4EF6-B8D3-8EDA779DB63A}&lt;/DBUID&gt;&lt;/Extra&gt;&lt;/Item&gt;&lt;/References&gt;&lt;/Group&gt;&lt;/Citation&gt;_x000a_"/>
    <w:docVar w:name="NE.Ref{9D157367-A3B8-4B2E-8D91-9EAD9251450F}" w:val=" ADDIN NE.Ref.{9D157367-A3B8-4B2E-8D91-9EAD9251450F}&lt;Citation&gt;&lt;Group&gt;&lt;References&gt;&lt;Item&gt;&lt;ID&gt;4279&lt;/ID&gt;&lt;UID&gt;{1CE25CA4-6054-4326-BA0A-C2B062AC8459}&lt;/UID&gt;&lt;Title&gt;Endoplasmic reticulum stress-induced apoptosis: A possible role in myocardial ischemia-reperfusion injury&lt;/Title&gt;&lt;Template&gt;Journal Article&lt;/Template&gt;&lt;Star&gt;1&lt;/Star&gt;&lt;Tag&gt;0&lt;/Tag&gt;&lt;Author&gt;Wu, H; Ye, M; Yang, J; Ding, J&lt;/Author&gt;&lt;Year&gt;2016&lt;/Year&gt;&lt;Details&gt;&lt;_date_display&gt;2016&lt;/_date_display&gt;&lt;_date&gt;2016-01-01&lt;/_date&gt;&lt;_journal&gt;International Journal of Cardiology&lt;/_journal&gt;&lt;_pages&gt;65-66&lt;/_pages&gt;&lt;_volume&gt;208&lt;/_volume&gt;&lt;_created&gt;62820580&lt;/_created&gt;&lt;_modified&gt;62820580&lt;/_modified&gt;&lt;_impact_factor&gt;   4.034&lt;/_impact_factor&gt;&lt;_collection_scope&gt;SCI;SCIE&lt;/_collection_scope&gt;&lt;/Details&gt;&lt;Extra&gt;&lt;DBUID&gt;{FC0B0B99-27A3-4EF6-B8D3-8EDA779DB63A}&lt;/DBUID&gt;&lt;/Extra&gt;&lt;/Item&gt;&lt;/References&gt;&lt;/Group&gt;&lt;/Citation&gt;_x000a_"/>
    <w:docVar w:name="NE.Ref{BE9E6518-7763-4411-9BD6-3593CACF6DAE}" w:val=" ADDIN NE.Ref.{BE9E6518-7763-4411-9BD6-3593CACF6DAE}&lt;Citation&gt;&lt;Group&gt;&lt;References&gt;&lt;Item&gt;&lt;ID&gt;4277&lt;/ID&gt;&lt;UID&gt;{9E2DAE0D-EA7B-4EF9-ADFD-4B99E0BD4218}&lt;/UID&gt;&lt;Title&gt;Apigenin suppresses the apoptosis of H9C2 rat cardiomyocytes subjected to myocardial ischemia鈥憆eperfusion injury via upregulation of the PI3K/Akt pathway&lt;/Title&gt;&lt;Template&gt;Journal Article&lt;/Template&gt;&lt;Star&gt;1&lt;/Star&gt;&lt;Tag&gt;0&lt;/Tag&gt;&lt;Author&gt;Zhou, Zhengwen; Zhang, Yue; Lin, Luning; Zhou, Jianmei&lt;/Author&gt;&lt;Year&gt;2018&lt;/Year&gt;&lt;Details&gt;&lt;_alternate_title&gt;Molecular medicine reports&lt;/_alternate_title&gt;&lt;_author_adr&gt;Department of Electrocardiogram Diagnosis, Zhejiang Hospital, Hangzhou, Zhejiang 310013, P.R. China.&lt;/_author_adr&gt;&lt;_date_display&gt;2018&lt;/_date_display&gt;&lt;_date&gt;2018-01-01&lt;/_date&gt;&lt;_doi&gt;10.3892/mmr.2018.9115&lt;/_doi&gt;&lt;_isbn&gt;1791-2997&lt;/_isbn&gt;&lt;_issue&gt;2&lt;/_issue&gt;&lt;_journal&gt;Molecular medicine reports&lt;/_journal&gt;&lt;_pages&gt;1560-1570&lt;/_pages&gt;&lt;_url&gt;http://europepmc.org/abstract/MED/29901074_x000d__x000a_http://europepmc.org/articles/PMC6072196?pdf=render_x000d__x000a_http://europepmc.org/articles/PMC6072196_x000d__x000a_https://doi.org/10.3892/mmr.2018.9115&lt;/_url&gt;&lt;_volume&gt;18&lt;/_volume&gt;&lt;_created&gt;62820574&lt;/_created&gt;&lt;_modified&gt;62820574&lt;/_modified&gt;&lt;_impact_factor&gt;   1.922&lt;/_impact_factor&gt;&lt;_collection_scope&gt;SCIE&lt;/_collection_scope&gt;&lt;/Details&gt;&lt;Extra&gt;&lt;DBUID&gt;{FC0B0B99-27A3-4EF6-B8D3-8EDA779DB63A}&lt;/DBUID&gt;&lt;/Extra&gt;&lt;/Item&gt;&lt;/References&gt;&lt;/Group&gt;&lt;/Citation&gt;_x000a_"/>
    <w:docVar w:name="NE.Ref{F63CB262-ACF0-4FD4-B936-2F1BE8668AB6}" w:val=" ADDIN NE.Ref.{F63CB262-ACF0-4FD4-B936-2F1BE8668AB6}&lt;Citation&gt;&lt;Group&gt;&lt;References&gt;&lt;Item&gt;&lt;ID&gt;4278&lt;/ID&gt;&lt;UID&gt;{A4635524-8DC4-4C33-BEE7-66353B8C3DC6}&lt;/UID&gt;&lt;Title&gt;Osthole attenuates myocardial ischemia/reperfusion injury in rats by inhibiting apoptosis and inflammation&lt;/Title&gt;&lt;Template&gt;Journal Article&lt;/Template&gt;&lt;Star&gt;1&lt;/Star&gt;&lt;Tag&gt;0&lt;/Tag&gt;&lt;Author&gt;Wu, Jingguo; Yang, Yang; Xun, Nan; Zeng, Lijin; Li, Zhenyu; Yang, Wen; Liang, Yanbing; Ma, Zhongfu; Tang, Hao&lt;/Author&gt;&lt;Year&gt;2018&lt;/Year&gt;&lt;Details&gt;&lt;_author_adr&gt;Department of General Internal Medicine, The First Affiliated Hospital of Sun Yat-sen University Guangzhou 510080, People&amp;apos;s Republic of China.&lt;/_author_adr&gt;&lt;_date_display&gt;2018&lt;/_date_display&gt;&lt;_date&gt;2018-01-01&lt;/_date&gt;&lt;_isbn&gt;1943-8141&lt;/_isbn&gt;&lt;_issue&gt;4&lt;/_issue&gt;&lt;_journal&gt;American Journal of Translational Research&lt;/_journal&gt;&lt;_pages&gt;1109-1116&lt;/_pages&gt;&lt;_secondary_title&gt;American journal of translational research&lt;/_secondary_title&gt;&lt;_url&gt;http://europepmc.org/abstract/MED/29736204_x000d__x000a_http://europepmc.org/articles/PMC5934570?pdf=render_x000d__x000a_http://europepmc.org/articles/PMC5934570&lt;/_url&gt;&lt;_volume&gt;10&lt;/_volume&gt;&lt;_created&gt;62820576&lt;/_created&gt;&lt;_modified&gt;62820577&lt;/_modified&gt;&lt;_accessed&gt;62820576&lt;/_accessed&gt;&lt;_impact_factor&gt;   3.061&lt;/_impact_factor&gt;&lt;_collection_scope&gt;SCIE&lt;/_collection_scope&gt;&lt;/Details&gt;&lt;Extra&gt;&lt;DBUID&gt;{FC0B0B99-27A3-4EF6-B8D3-8EDA779DB63A}&lt;/DBUID&gt;&lt;/Extra&gt;&lt;/Item&gt;&lt;/References&gt;&lt;/Group&gt;&lt;/Citation&gt;_x000a_"/>
    <w:docVar w:name="ne_docsoft" w:val="MSWord"/>
    <w:docVar w:name="ne_docversion" w:val="NoteExpress 2.0"/>
    <w:docVar w:name="ne_stylename" w:val="CA Cancer J Clin all author"/>
  </w:docVars>
  <w:rsids>
    <w:rsidRoot w:val="00086447"/>
    <w:rsid w:val="00001602"/>
    <w:rsid w:val="00037440"/>
    <w:rsid w:val="00045F2D"/>
    <w:rsid w:val="000802A2"/>
    <w:rsid w:val="00086447"/>
    <w:rsid w:val="000B585C"/>
    <w:rsid w:val="000E046B"/>
    <w:rsid w:val="000E6DCF"/>
    <w:rsid w:val="000F082B"/>
    <w:rsid w:val="000F57E3"/>
    <w:rsid w:val="001164B8"/>
    <w:rsid w:val="001212AD"/>
    <w:rsid w:val="00125590"/>
    <w:rsid w:val="00197DD9"/>
    <w:rsid w:val="001C3742"/>
    <w:rsid w:val="001D2219"/>
    <w:rsid w:val="001E60A5"/>
    <w:rsid w:val="001E70A9"/>
    <w:rsid w:val="00201A93"/>
    <w:rsid w:val="00233E52"/>
    <w:rsid w:val="00281E06"/>
    <w:rsid w:val="0028344F"/>
    <w:rsid w:val="002D4332"/>
    <w:rsid w:val="002E44DE"/>
    <w:rsid w:val="00313C43"/>
    <w:rsid w:val="00330F7C"/>
    <w:rsid w:val="00381B19"/>
    <w:rsid w:val="003A1854"/>
    <w:rsid w:val="003A7635"/>
    <w:rsid w:val="003B0AE2"/>
    <w:rsid w:val="003E1263"/>
    <w:rsid w:val="00465714"/>
    <w:rsid w:val="00514A70"/>
    <w:rsid w:val="00520925"/>
    <w:rsid w:val="005906D7"/>
    <w:rsid w:val="005916D8"/>
    <w:rsid w:val="00597283"/>
    <w:rsid w:val="005B4F99"/>
    <w:rsid w:val="005E642D"/>
    <w:rsid w:val="0062458B"/>
    <w:rsid w:val="00634210"/>
    <w:rsid w:val="00682EC1"/>
    <w:rsid w:val="006C30E4"/>
    <w:rsid w:val="006F1851"/>
    <w:rsid w:val="00706A4A"/>
    <w:rsid w:val="00706DB1"/>
    <w:rsid w:val="00722985"/>
    <w:rsid w:val="00776FF2"/>
    <w:rsid w:val="007A63B6"/>
    <w:rsid w:val="007B0E72"/>
    <w:rsid w:val="007C1CE3"/>
    <w:rsid w:val="007E73A5"/>
    <w:rsid w:val="008404E3"/>
    <w:rsid w:val="0085354A"/>
    <w:rsid w:val="008B2F00"/>
    <w:rsid w:val="008D7290"/>
    <w:rsid w:val="008E5425"/>
    <w:rsid w:val="00927AB9"/>
    <w:rsid w:val="00960D1D"/>
    <w:rsid w:val="00993419"/>
    <w:rsid w:val="00995D9E"/>
    <w:rsid w:val="00A2270F"/>
    <w:rsid w:val="00A23642"/>
    <w:rsid w:val="00A31627"/>
    <w:rsid w:val="00A83093"/>
    <w:rsid w:val="00AA3EDC"/>
    <w:rsid w:val="00AB4C1C"/>
    <w:rsid w:val="00AF2E58"/>
    <w:rsid w:val="00B11D99"/>
    <w:rsid w:val="00B62718"/>
    <w:rsid w:val="00B75F4D"/>
    <w:rsid w:val="00BC6F3A"/>
    <w:rsid w:val="00BD0008"/>
    <w:rsid w:val="00C9196D"/>
    <w:rsid w:val="00CD125A"/>
    <w:rsid w:val="00CD2FC5"/>
    <w:rsid w:val="00D2696B"/>
    <w:rsid w:val="00D36DC9"/>
    <w:rsid w:val="00D503B2"/>
    <w:rsid w:val="00DD793E"/>
    <w:rsid w:val="00DE04D3"/>
    <w:rsid w:val="00DF62D1"/>
    <w:rsid w:val="00E247A0"/>
    <w:rsid w:val="00E4581B"/>
    <w:rsid w:val="00E7496E"/>
    <w:rsid w:val="00EE557D"/>
    <w:rsid w:val="00F2723E"/>
    <w:rsid w:val="00F42CCE"/>
    <w:rsid w:val="00F72DD5"/>
    <w:rsid w:val="00FC5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CA8341"/>
  <w15:docId w15:val="{490AF9A6-0A8B-4130-83CA-2BDB8CAD5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559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8644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8644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8644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86447"/>
    <w:rPr>
      <w:sz w:val="18"/>
      <w:szCs w:val="18"/>
    </w:rPr>
  </w:style>
  <w:style w:type="paragraph" w:customStyle="1" w:styleId="EndNoteBibliography">
    <w:name w:val="EndNote Bibliography"/>
    <w:basedOn w:val="a"/>
    <w:link w:val="EndNoteBibliographyChar"/>
    <w:rsid w:val="00CD2FC5"/>
    <w:rPr>
      <w:rFonts w:ascii="Calibri" w:hAnsi="Calibri" w:cs="Calibri"/>
      <w:noProof/>
      <w:sz w:val="20"/>
      <w:szCs w:val="24"/>
    </w:rPr>
  </w:style>
  <w:style w:type="character" w:customStyle="1" w:styleId="EndNoteBibliographyChar">
    <w:name w:val="EndNote Bibliography Char"/>
    <w:basedOn w:val="a0"/>
    <w:link w:val="EndNoteBibliography"/>
    <w:rsid w:val="00CD2FC5"/>
    <w:rPr>
      <w:rFonts w:ascii="Calibri" w:hAnsi="Calibri" w:cs="Calibri"/>
      <w:noProof/>
      <w:sz w:val="20"/>
      <w:szCs w:val="24"/>
    </w:rPr>
  </w:style>
  <w:style w:type="paragraph" w:styleId="a7">
    <w:name w:val="List Paragraph"/>
    <w:basedOn w:val="a"/>
    <w:uiPriority w:val="34"/>
    <w:qFormat/>
    <w:rsid w:val="00AA3EDC"/>
    <w:pPr>
      <w:ind w:firstLineChars="200" w:firstLine="420"/>
    </w:pPr>
  </w:style>
  <w:style w:type="character" w:customStyle="1" w:styleId="apple-converted-space">
    <w:name w:val="apple-converted-space"/>
    <w:basedOn w:val="a0"/>
    <w:rsid w:val="007A63B6"/>
  </w:style>
  <w:style w:type="paragraph" w:styleId="a8">
    <w:name w:val="Normal (Web)"/>
    <w:basedOn w:val="a"/>
    <w:uiPriority w:val="99"/>
    <w:semiHidden/>
    <w:unhideWhenUsed/>
    <w:rsid w:val="00E4581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0E6DCF"/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0E6DCF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8B2F00"/>
    <w:rPr>
      <w:rFonts w:ascii="Tahoma" w:hAnsi="Tahoma" w:cs="Tahoma"/>
      <w:sz w:val="16"/>
      <w:szCs w:val="20"/>
    </w:rPr>
  </w:style>
  <w:style w:type="character" w:customStyle="1" w:styleId="ac">
    <w:name w:val="批注文字 字符"/>
    <w:basedOn w:val="a0"/>
    <w:link w:val="ab"/>
    <w:uiPriority w:val="99"/>
    <w:semiHidden/>
    <w:rsid w:val="008B2F00"/>
    <w:rPr>
      <w:rFonts w:ascii="Tahoma" w:hAnsi="Tahoma" w:cs="Tahoma"/>
      <w:sz w:val="16"/>
      <w:szCs w:val="20"/>
    </w:rPr>
  </w:style>
  <w:style w:type="character" w:styleId="ad">
    <w:name w:val="annotation reference"/>
    <w:basedOn w:val="a0"/>
    <w:uiPriority w:val="99"/>
    <w:semiHidden/>
    <w:unhideWhenUsed/>
    <w:rsid w:val="008B2F00"/>
    <w:rPr>
      <w:rFonts w:ascii="Tahoma" w:hAnsi="Tahoma" w:cs="Tahoma"/>
      <w:b w:val="0"/>
      <w:i w:val="0"/>
      <w:caps w:val="0"/>
      <w:strike w:val="0"/>
      <w:sz w:val="16"/>
      <w:szCs w:val="16"/>
      <w:u w:val="none"/>
    </w:rPr>
  </w:style>
  <w:style w:type="paragraph" w:styleId="ae">
    <w:name w:val="annotation subject"/>
    <w:basedOn w:val="ab"/>
    <w:next w:val="ab"/>
    <w:link w:val="af"/>
    <w:uiPriority w:val="99"/>
    <w:semiHidden/>
    <w:unhideWhenUsed/>
    <w:rsid w:val="008B2F00"/>
    <w:rPr>
      <w:rFonts w:asciiTheme="minorHAnsi" w:hAnsiTheme="minorHAnsi" w:cstheme="minorBidi"/>
      <w:b/>
      <w:bCs/>
      <w:sz w:val="20"/>
    </w:rPr>
  </w:style>
  <w:style w:type="character" w:customStyle="1" w:styleId="af">
    <w:name w:val="批注主题 字符"/>
    <w:basedOn w:val="ac"/>
    <w:link w:val="ae"/>
    <w:uiPriority w:val="99"/>
    <w:semiHidden/>
    <w:rsid w:val="008B2F00"/>
    <w:rPr>
      <w:rFonts w:ascii="Tahoma" w:hAnsi="Tahoma" w:cs="Tahoma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7331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3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1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1</Pages>
  <Words>382</Words>
  <Characters>2180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sirius</dc:creator>
  <cp:keywords/>
  <dc:description>NE.Ref</dc:description>
  <cp:lastModifiedBy>Xumeng Wu</cp:lastModifiedBy>
  <cp:revision>54</cp:revision>
  <dcterms:created xsi:type="dcterms:W3CDTF">2010-10-10T08:47:00Z</dcterms:created>
  <dcterms:modified xsi:type="dcterms:W3CDTF">2021-04-09T01:48:00Z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UseTimer">
    <vt:bool>true</vt:bool>
  </property>
  <property fmtid="{D5CDD505-2E9C-101B-9397-08002B2CF9AE}" pid="3" name="LastTick">
    <vt:r8>43969.5843402778</vt:r8>
  </property>
  <property fmtid="{D5CDD505-2E9C-101B-9397-08002B2CF9AE}" pid="4" name="EditTotal">
    <vt:i4>78</vt:i4>
  </property>
  <property fmtid="{D5CDD505-2E9C-101B-9397-08002B2CF9AE}" pid="5" name="EditTimer">
    <vt:i4>90</vt:i4>
  </property>
</Properties>
</file>