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190"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b/>
          <w:sz w:val="22"/>
          <w:szCs w:val="22"/>
        </w:rPr>
        <w:t>Supplemental figure legends</w:t>
      </w:r>
    </w:p>
    <w:p w:rsidR="00CF3871" w:rsidRPr="003C1478" w:rsidRDefault="00CF3871" w:rsidP="00CF3871">
      <w:pPr>
        <w:jc w:val="both"/>
        <w:rPr>
          <w:rFonts w:ascii="Times New Roman" w:hAnsi="Times New Roman" w:cs="Times New Roman"/>
          <w:sz w:val="22"/>
          <w:szCs w:val="22"/>
        </w:rPr>
      </w:pPr>
      <w:r w:rsidRPr="003C1478">
        <w:rPr>
          <w:rFonts w:ascii="Times New Roman" w:hAnsi="Times New Roman" w:cs="Times New Roman"/>
          <w:b/>
          <w:sz w:val="22"/>
          <w:szCs w:val="22"/>
        </w:rPr>
        <w:t xml:space="preserve">Figure </w:t>
      </w:r>
      <w:r w:rsidR="00F47542" w:rsidRPr="003C1478">
        <w:rPr>
          <w:rFonts w:ascii="Times New Roman" w:hAnsi="Times New Roman" w:cs="Times New Roman"/>
          <w:b/>
          <w:sz w:val="22"/>
          <w:szCs w:val="22"/>
        </w:rPr>
        <w:t>S</w:t>
      </w:r>
      <w:r w:rsidRPr="003C1478">
        <w:rPr>
          <w:rFonts w:ascii="Times New Roman" w:hAnsi="Times New Roman" w:cs="Times New Roman"/>
          <w:b/>
          <w:sz w:val="22"/>
          <w:szCs w:val="22"/>
        </w:rPr>
        <w:t xml:space="preserve">1. </w:t>
      </w:r>
      <w:r w:rsidR="00E6280C" w:rsidRPr="003C1478">
        <w:rPr>
          <w:rFonts w:ascii="Times New Roman" w:hAnsi="Times New Roman" w:cs="Times New Roman"/>
          <w:b/>
          <w:sz w:val="22"/>
          <w:szCs w:val="22"/>
        </w:rPr>
        <w:t xml:space="preserve">Representative gating strategy of cell death </w:t>
      </w:r>
      <w:r w:rsidR="002B3B80" w:rsidRPr="003C1478">
        <w:rPr>
          <w:rFonts w:ascii="Times New Roman" w:hAnsi="Times New Roman" w:cs="Times New Roman"/>
          <w:b/>
          <w:sz w:val="22"/>
          <w:szCs w:val="22"/>
        </w:rPr>
        <w:t>assay</w:t>
      </w:r>
    </w:p>
    <w:p w:rsidR="002B3B80" w:rsidRDefault="00E6280C" w:rsidP="00475190">
      <w:pPr>
        <w:jc w:val="both"/>
        <w:rPr>
          <w:rFonts w:ascii="Times New Roman" w:hAnsi="Times New Roman" w:cs="Times New Roman"/>
          <w:sz w:val="22"/>
          <w:szCs w:val="22"/>
        </w:rPr>
      </w:pPr>
      <w:r w:rsidRPr="003C1478">
        <w:rPr>
          <w:rFonts w:ascii="Times New Roman" w:hAnsi="Times New Roman" w:cs="Times New Roman"/>
          <w:sz w:val="22"/>
          <w:szCs w:val="22"/>
        </w:rPr>
        <w:t xml:space="preserve">Representative gating strategy of cell death </w:t>
      </w:r>
      <w:r w:rsidR="002B3B80" w:rsidRPr="003C1478">
        <w:rPr>
          <w:rFonts w:ascii="Times New Roman" w:hAnsi="Times New Roman" w:cs="Times New Roman"/>
          <w:sz w:val="22"/>
          <w:szCs w:val="22"/>
        </w:rPr>
        <w:t xml:space="preserve">evaluated using the mitochondrial transmembrane potential-sensible dye </w:t>
      </w:r>
      <w:r w:rsidR="00DD54C9" w:rsidRPr="003C1478">
        <w:rPr>
          <w:rFonts w:ascii="Times New Roman" w:hAnsi="Times New Roman" w:cs="Times New Roman"/>
          <w:sz w:val="22"/>
          <w:szCs w:val="22"/>
        </w:rPr>
        <w:t>(</w:t>
      </w:r>
      <w:proofErr w:type="gramStart"/>
      <w:r w:rsidR="002B3B80" w:rsidRPr="003C1478">
        <w:rPr>
          <w:rFonts w:ascii="Times New Roman" w:hAnsi="Times New Roman" w:cs="Times New Roman"/>
          <w:sz w:val="22"/>
          <w:szCs w:val="22"/>
        </w:rPr>
        <w:t>DiOC</w:t>
      </w:r>
      <w:r w:rsidR="002B3B80" w:rsidRPr="003C1478">
        <w:rPr>
          <w:rFonts w:ascii="Times New Roman" w:hAnsi="Times New Roman" w:cs="Times New Roman"/>
          <w:sz w:val="22"/>
          <w:szCs w:val="22"/>
          <w:vertAlign w:val="subscript"/>
        </w:rPr>
        <w:t>6</w:t>
      </w:r>
      <w:r w:rsidR="00DD54C9" w:rsidRPr="003C1478">
        <w:rPr>
          <w:rFonts w:ascii="Times New Roman" w:hAnsi="Times New Roman" w:cs="Times New Roman"/>
          <w:sz w:val="22"/>
          <w:szCs w:val="22"/>
        </w:rPr>
        <w:t>(</w:t>
      </w:r>
      <w:proofErr w:type="gramEnd"/>
      <w:r w:rsidR="00DD54C9" w:rsidRPr="003C1478">
        <w:rPr>
          <w:rFonts w:ascii="Times New Roman" w:hAnsi="Times New Roman" w:cs="Times New Roman"/>
          <w:sz w:val="22"/>
          <w:szCs w:val="22"/>
        </w:rPr>
        <w:t xml:space="preserve">3)) </w:t>
      </w:r>
      <w:r w:rsidR="002B3B80" w:rsidRPr="003C1478">
        <w:rPr>
          <w:rFonts w:ascii="Times New Roman" w:hAnsi="Times New Roman" w:cs="Times New Roman"/>
          <w:sz w:val="22"/>
          <w:szCs w:val="22"/>
        </w:rPr>
        <w:t xml:space="preserve">and </w:t>
      </w:r>
      <w:r w:rsidR="00DD54C9" w:rsidRPr="003C1478">
        <w:rPr>
          <w:rFonts w:ascii="Times New Roman" w:hAnsi="Times New Roman" w:cs="Times New Roman"/>
          <w:sz w:val="22"/>
          <w:szCs w:val="22"/>
        </w:rPr>
        <w:t>DAPI</w:t>
      </w:r>
      <w:r w:rsidR="002B3B80" w:rsidRPr="003C1478">
        <w:rPr>
          <w:rFonts w:ascii="Times New Roman" w:hAnsi="Times New Roman" w:cs="Times New Roman"/>
          <w:sz w:val="22"/>
          <w:szCs w:val="22"/>
        </w:rPr>
        <w:t>. Representative dot plots for the h</w:t>
      </w:r>
      <w:r w:rsidR="00CF3871" w:rsidRPr="003C1478">
        <w:rPr>
          <w:rFonts w:ascii="Times New Roman" w:hAnsi="Times New Roman" w:cs="Times New Roman"/>
          <w:sz w:val="22"/>
          <w:szCs w:val="22"/>
        </w:rPr>
        <w:t>uman NPM1-ALK</w:t>
      </w:r>
      <w:r w:rsidR="00CF3871" w:rsidRPr="003C1478">
        <w:rPr>
          <w:rFonts w:ascii="Times New Roman" w:hAnsi="Times New Roman" w:cs="Times New Roman"/>
          <w:sz w:val="22"/>
          <w:szCs w:val="22"/>
          <w:vertAlign w:val="superscript"/>
        </w:rPr>
        <w:t>+</w:t>
      </w:r>
      <w:r w:rsidR="00CF3871" w:rsidRPr="003C1478">
        <w:rPr>
          <w:rFonts w:ascii="Times New Roman" w:hAnsi="Times New Roman" w:cs="Times New Roman"/>
          <w:sz w:val="22"/>
          <w:szCs w:val="22"/>
        </w:rPr>
        <w:t xml:space="preserve"> SU-DHL-1 </w:t>
      </w:r>
      <w:r w:rsidRPr="003C1478">
        <w:rPr>
          <w:rFonts w:ascii="Times New Roman" w:hAnsi="Times New Roman" w:cs="Times New Roman"/>
          <w:sz w:val="22"/>
          <w:szCs w:val="22"/>
        </w:rPr>
        <w:t xml:space="preserve">(A) </w:t>
      </w:r>
      <w:r w:rsidR="00DD54C9" w:rsidRPr="003C1478">
        <w:rPr>
          <w:rFonts w:ascii="Times New Roman" w:hAnsi="Times New Roman" w:cs="Times New Roman"/>
          <w:sz w:val="22"/>
          <w:szCs w:val="22"/>
        </w:rPr>
        <w:t xml:space="preserve">and </w:t>
      </w:r>
      <w:r w:rsidR="00CF3871" w:rsidRPr="003C1478">
        <w:rPr>
          <w:rFonts w:ascii="Times New Roman" w:hAnsi="Times New Roman" w:cs="Times New Roman"/>
          <w:sz w:val="22"/>
          <w:szCs w:val="22"/>
        </w:rPr>
        <w:t>NPM1-ALK</w:t>
      </w:r>
      <w:r w:rsidR="00CF3871" w:rsidRPr="003C1478">
        <w:rPr>
          <w:rFonts w:ascii="Times New Roman" w:hAnsi="Times New Roman" w:cs="Times New Roman"/>
          <w:sz w:val="22"/>
          <w:szCs w:val="22"/>
          <w:vertAlign w:val="superscript"/>
        </w:rPr>
        <w:t>-</w:t>
      </w:r>
      <w:r w:rsidR="00CF3871" w:rsidRPr="003C1478">
        <w:rPr>
          <w:rFonts w:ascii="Times New Roman" w:hAnsi="Times New Roman" w:cs="Times New Roman"/>
          <w:sz w:val="22"/>
          <w:szCs w:val="22"/>
        </w:rPr>
        <w:t xml:space="preserve"> FE-PD </w:t>
      </w:r>
      <w:r w:rsidRPr="003C1478">
        <w:rPr>
          <w:rFonts w:ascii="Times New Roman" w:hAnsi="Times New Roman" w:cs="Times New Roman"/>
          <w:sz w:val="22"/>
          <w:szCs w:val="22"/>
        </w:rPr>
        <w:t xml:space="preserve">(B) </w:t>
      </w:r>
      <w:r w:rsidR="002B3B80" w:rsidRPr="003C1478">
        <w:rPr>
          <w:rFonts w:ascii="Times New Roman" w:hAnsi="Times New Roman" w:cs="Times New Roman"/>
          <w:sz w:val="22"/>
          <w:szCs w:val="22"/>
        </w:rPr>
        <w:t>are shown</w:t>
      </w:r>
      <w:r w:rsidR="00CF3871" w:rsidRPr="003C1478">
        <w:rPr>
          <w:rFonts w:ascii="Times New Roman" w:hAnsi="Times New Roman" w:cs="Times New Roman"/>
          <w:sz w:val="22"/>
          <w:szCs w:val="22"/>
        </w:rPr>
        <w:t xml:space="preserve">. </w:t>
      </w:r>
    </w:p>
    <w:p w:rsidR="00C7601B" w:rsidRPr="003C1478" w:rsidRDefault="00C7601B" w:rsidP="00475190">
      <w:pPr>
        <w:jc w:val="both"/>
        <w:rPr>
          <w:rFonts w:ascii="Times New Roman" w:hAnsi="Times New Roman" w:cs="Times New Roman"/>
          <w:sz w:val="22"/>
          <w:szCs w:val="22"/>
        </w:rPr>
      </w:pPr>
    </w:p>
    <w:p w:rsidR="00475190" w:rsidRPr="003C1478" w:rsidRDefault="00475190" w:rsidP="00475190">
      <w:pPr>
        <w:jc w:val="both"/>
        <w:rPr>
          <w:rFonts w:ascii="Times New Roman" w:hAnsi="Times New Roman" w:cs="Times New Roman"/>
          <w:b/>
          <w:sz w:val="22"/>
          <w:szCs w:val="22"/>
        </w:rPr>
      </w:pPr>
      <w:r w:rsidRPr="003C1478">
        <w:rPr>
          <w:rFonts w:ascii="Times New Roman" w:hAnsi="Times New Roman" w:cs="Times New Roman"/>
          <w:b/>
          <w:sz w:val="22"/>
          <w:szCs w:val="22"/>
        </w:rPr>
        <w:t>Figure S</w:t>
      </w:r>
      <w:r w:rsidR="00CF3871" w:rsidRPr="003C1478">
        <w:rPr>
          <w:rFonts w:ascii="Times New Roman" w:hAnsi="Times New Roman" w:cs="Times New Roman"/>
          <w:b/>
          <w:sz w:val="22"/>
          <w:szCs w:val="22"/>
        </w:rPr>
        <w:t>2</w:t>
      </w:r>
      <w:r w:rsidRPr="003C1478">
        <w:rPr>
          <w:rFonts w:ascii="Times New Roman" w:hAnsi="Times New Roman" w:cs="Times New Roman"/>
          <w:b/>
          <w:sz w:val="22"/>
          <w:szCs w:val="22"/>
        </w:rPr>
        <w:t xml:space="preserve">. Caspase-dependency of cell death induced by crizotinib and ceritinib </w:t>
      </w:r>
    </w:p>
    <w:p w:rsidR="00475190" w:rsidRDefault="00475190" w:rsidP="00475190">
      <w:pPr>
        <w:jc w:val="both"/>
        <w:rPr>
          <w:rFonts w:ascii="Times New Roman" w:hAnsi="Times New Roman" w:cs="Times New Roman"/>
          <w:sz w:val="22"/>
          <w:szCs w:val="22"/>
        </w:rPr>
      </w:pPr>
      <w:r w:rsidRPr="003C1478">
        <w:rPr>
          <w:rFonts w:ascii="Times New Roman" w:hAnsi="Times New Roman" w:cs="Times New Roman"/>
          <w:sz w:val="22"/>
          <w:szCs w:val="22"/>
        </w:rPr>
        <w:t>Human NPM1-ALK</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SU-DHL-1 (A) and SUP-M2 (B) cells were pre-treated for 30 min with 10 </w:t>
      </w:r>
      <w:r w:rsidRPr="003C1478">
        <w:rPr>
          <w:rFonts w:ascii="Symbol" w:hAnsi="Symbol" w:cs="Times New Roman"/>
          <w:sz w:val="22"/>
          <w:szCs w:val="22"/>
        </w:rPr>
        <w:t></w:t>
      </w:r>
      <w:r w:rsidRPr="003C1478">
        <w:rPr>
          <w:rFonts w:ascii="Symbol" w:hAnsi="Symbol" w:cs="Times New Roman"/>
          <w:sz w:val="22"/>
          <w:szCs w:val="22"/>
        </w:rPr>
        <w:t></w:t>
      </w:r>
      <w:r w:rsidRPr="003C1478">
        <w:rPr>
          <w:rFonts w:ascii="Symbol" w:hAnsi="Symbol" w:cs="Times New Roman"/>
          <w:sz w:val="22"/>
          <w:szCs w:val="22"/>
        </w:rPr>
        <w:t></w:t>
      </w:r>
      <w:r w:rsidRPr="003C1478">
        <w:rPr>
          <w:rFonts w:ascii="Times New Roman" w:hAnsi="Times New Roman" w:cs="Times New Roman"/>
          <w:sz w:val="22"/>
          <w:szCs w:val="22"/>
        </w:rPr>
        <w:t>of the pan-caspase inhibitor Q-VD-</w:t>
      </w:r>
      <w:proofErr w:type="spellStart"/>
      <w:r w:rsidRPr="003C1478">
        <w:rPr>
          <w:rFonts w:ascii="Times New Roman" w:hAnsi="Times New Roman" w:cs="Times New Roman"/>
          <w:sz w:val="22"/>
          <w:szCs w:val="22"/>
        </w:rPr>
        <w:t>Oph</w:t>
      </w:r>
      <w:proofErr w:type="spellEnd"/>
      <w:r w:rsidRPr="003C1478">
        <w:rPr>
          <w:rFonts w:ascii="Times New Roman" w:hAnsi="Times New Roman" w:cs="Times New Roman"/>
          <w:sz w:val="22"/>
          <w:szCs w:val="22"/>
        </w:rPr>
        <w:t xml:space="preserve"> and then, without washing, challenged with increasing concentrations of </w:t>
      </w:r>
      <w:r w:rsidR="00917B6F" w:rsidRPr="003C1478">
        <w:rPr>
          <w:rFonts w:ascii="Times New Roman" w:hAnsi="Times New Roman" w:cs="Times New Roman"/>
          <w:sz w:val="22"/>
          <w:szCs w:val="22"/>
        </w:rPr>
        <w:t>crizotinib (</w:t>
      </w:r>
      <w:r w:rsidRPr="003C1478">
        <w:rPr>
          <w:rFonts w:ascii="Times New Roman" w:hAnsi="Times New Roman" w:cs="Times New Roman"/>
          <w:sz w:val="22"/>
          <w:szCs w:val="22"/>
        </w:rPr>
        <w:t>CRIZ</w:t>
      </w:r>
      <w:r w:rsidR="00917B6F" w:rsidRPr="003C1478">
        <w:rPr>
          <w:rFonts w:ascii="Times New Roman" w:hAnsi="Times New Roman" w:cs="Times New Roman"/>
          <w:sz w:val="22"/>
          <w:szCs w:val="22"/>
        </w:rPr>
        <w:t>)</w:t>
      </w:r>
      <w:r w:rsidRPr="003C1478">
        <w:rPr>
          <w:rFonts w:ascii="Times New Roman" w:hAnsi="Times New Roman" w:cs="Times New Roman"/>
          <w:sz w:val="22"/>
          <w:szCs w:val="22"/>
        </w:rPr>
        <w:t xml:space="preserve"> or </w:t>
      </w:r>
      <w:r w:rsidR="00917B6F" w:rsidRPr="003C1478">
        <w:rPr>
          <w:rFonts w:ascii="Times New Roman" w:hAnsi="Times New Roman" w:cs="Times New Roman"/>
          <w:sz w:val="22"/>
          <w:szCs w:val="22"/>
        </w:rPr>
        <w:t>ceritinib (</w:t>
      </w:r>
      <w:r w:rsidRPr="003C1478">
        <w:rPr>
          <w:rFonts w:ascii="Times New Roman" w:hAnsi="Times New Roman" w:cs="Times New Roman"/>
          <w:sz w:val="22"/>
          <w:szCs w:val="22"/>
        </w:rPr>
        <w:t>CER</w:t>
      </w:r>
      <w:r w:rsidR="00917B6F" w:rsidRPr="003C1478">
        <w:rPr>
          <w:rFonts w:ascii="Times New Roman" w:hAnsi="Times New Roman" w:cs="Times New Roman"/>
          <w:sz w:val="22"/>
          <w:szCs w:val="22"/>
        </w:rPr>
        <w:t>)</w:t>
      </w:r>
      <w:r w:rsidRPr="003C1478">
        <w:rPr>
          <w:rFonts w:ascii="Times New Roman" w:hAnsi="Times New Roman" w:cs="Times New Roman"/>
          <w:sz w:val="22"/>
          <w:szCs w:val="22"/>
        </w:rPr>
        <w:t xml:space="preserve"> for 24 h. Cell death was assessed by flow cytometry using </w:t>
      </w:r>
      <w:bookmarkStart w:id="0" w:name="__DdeLink__284_235013116"/>
      <w:proofErr w:type="gramStart"/>
      <w:r w:rsidRPr="003C1478">
        <w:rPr>
          <w:rFonts w:ascii="Times New Roman" w:hAnsi="Times New Roman" w:cs="Times New Roman"/>
          <w:sz w:val="22"/>
          <w:szCs w:val="22"/>
        </w:rPr>
        <w:t>DiOC</w:t>
      </w:r>
      <w:r w:rsidRPr="003C1478">
        <w:rPr>
          <w:rFonts w:ascii="Times New Roman" w:hAnsi="Times New Roman" w:cs="Times New Roman"/>
          <w:sz w:val="22"/>
          <w:szCs w:val="22"/>
          <w:vertAlign w:val="subscript"/>
        </w:rPr>
        <w:t>6</w:t>
      </w:r>
      <w:r w:rsidRPr="003C1478">
        <w:rPr>
          <w:rFonts w:ascii="Times New Roman" w:hAnsi="Times New Roman" w:cs="Times New Roman"/>
          <w:sz w:val="22"/>
          <w:szCs w:val="22"/>
        </w:rPr>
        <w:t>(</w:t>
      </w:r>
      <w:proofErr w:type="gramEnd"/>
      <w:r w:rsidRPr="003C1478">
        <w:rPr>
          <w:rFonts w:ascii="Times New Roman" w:hAnsi="Times New Roman" w:cs="Times New Roman"/>
          <w:sz w:val="22"/>
          <w:szCs w:val="22"/>
        </w:rPr>
        <w:t>3)</w:t>
      </w:r>
      <w:bookmarkEnd w:id="0"/>
      <w:r w:rsidRPr="003C1478">
        <w:rPr>
          <w:rFonts w:ascii="Times New Roman" w:hAnsi="Times New Roman" w:cs="Times New Roman"/>
          <w:sz w:val="22"/>
          <w:szCs w:val="22"/>
        </w:rPr>
        <w:t xml:space="preserve">, which permeate only viable mitochondria, and DAPI, excluded by cells with an intact membrane. Percentage of </w:t>
      </w:r>
      <w:proofErr w:type="gramStart"/>
      <w:r w:rsidR="00C30629" w:rsidRPr="00CC09D4">
        <w:rPr>
          <w:rFonts w:ascii="Times New Roman" w:hAnsi="Times New Roman" w:cs="Times New Roman"/>
          <w:sz w:val="22"/>
          <w:szCs w:val="22"/>
        </w:rPr>
        <w:t>DiOC</w:t>
      </w:r>
      <w:r w:rsidR="00C30629" w:rsidRPr="00CC09D4">
        <w:rPr>
          <w:rFonts w:ascii="Times New Roman" w:hAnsi="Times New Roman" w:cs="Times New Roman"/>
          <w:sz w:val="22"/>
          <w:szCs w:val="22"/>
          <w:vertAlign w:val="subscript"/>
        </w:rPr>
        <w:t>6</w:t>
      </w:r>
      <w:r w:rsidR="00C30629" w:rsidRPr="00CC09D4">
        <w:rPr>
          <w:rFonts w:ascii="Times New Roman" w:hAnsi="Times New Roman" w:cs="Times New Roman"/>
          <w:sz w:val="22"/>
          <w:szCs w:val="22"/>
        </w:rPr>
        <w:t>(</w:t>
      </w:r>
      <w:proofErr w:type="gramEnd"/>
      <w:r w:rsidR="00C30629" w:rsidRPr="00CC09D4">
        <w:rPr>
          <w:rFonts w:ascii="Times New Roman" w:hAnsi="Times New Roman" w:cs="Times New Roman"/>
          <w:sz w:val="22"/>
          <w:szCs w:val="22"/>
        </w:rPr>
        <w:t>3)</w:t>
      </w:r>
      <w:r w:rsidRPr="003C1478">
        <w:rPr>
          <w:rFonts w:ascii="Times New Roman" w:hAnsi="Times New Roman" w:cs="Times New Roman"/>
          <w:sz w:val="22"/>
          <w:szCs w:val="22"/>
          <w:vertAlign w:val="superscript"/>
        </w:rPr>
        <w:t xml:space="preserve">- </w:t>
      </w:r>
      <w:r w:rsidRPr="003C1478">
        <w:rPr>
          <w:rFonts w:ascii="Times New Roman" w:hAnsi="Times New Roman" w:cs="Times New Roman"/>
          <w:sz w:val="22"/>
          <w:szCs w:val="22"/>
        </w:rPr>
        <w:t>DAPI</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or DAPI</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cells is depicted as mean ± SD </w:t>
      </w:r>
      <w:r w:rsidR="006629E5" w:rsidRPr="003C1478">
        <w:rPr>
          <w:rFonts w:ascii="Times New Roman" w:hAnsi="Times New Roman" w:cs="Times New Roman"/>
          <w:sz w:val="22"/>
          <w:szCs w:val="22"/>
        </w:rPr>
        <w:t xml:space="preserve">of three independent experiments </w:t>
      </w:r>
      <w:r w:rsidRPr="003C1478">
        <w:rPr>
          <w:rFonts w:ascii="Times New Roman" w:hAnsi="Times New Roman" w:cs="Times New Roman"/>
          <w:sz w:val="22"/>
          <w:szCs w:val="22"/>
        </w:rPr>
        <w:t>(n=</w:t>
      </w:r>
      <w:r w:rsidR="006629E5" w:rsidRPr="003C1478">
        <w:rPr>
          <w:rFonts w:ascii="Times New Roman" w:hAnsi="Times New Roman" w:cs="Times New Roman"/>
          <w:sz w:val="22"/>
          <w:szCs w:val="22"/>
        </w:rPr>
        <w:t>9</w:t>
      </w:r>
      <w:r w:rsidRPr="003C1478">
        <w:rPr>
          <w:rFonts w:ascii="Times New Roman" w:hAnsi="Times New Roman" w:cs="Times New Roman"/>
          <w:sz w:val="22"/>
          <w:szCs w:val="22"/>
        </w:rPr>
        <w:t>). Statistical significance was calculated u</w:t>
      </w:r>
      <w:r w:rsidR="006629E5" w:rsidRPr="003C1478">
        <w:rPr>
          <w:rFonts w:ascii="Times New Roman" w:hAnsi="Times New Roman" w:cs="Times New Roman"/>
          <w:sz w:val="22"/>
          <w:szCs w:val="22"/>
        </w:rPr>
        <w:t xml:space="preserve">sing the Student’s t-test. </w:t>
      </w:r>
      <w:r w:rsidRPr="003C1478">
        <w:rPr>
          <w:rFonts w:ascii="Times New Roman" w:hAnsi="Times New Roman" w:cs="Times New Roman"/>
          <w:sz w:val="22"/>
          <w:szCs w:val="22"/>
        </w:rPr>
        <w:t xml:space="preserve">**p &lt; 0.01, ****p &lt; 0.0001 </w:t>
      </w:r>
      <w:r w:rsidRPr="003C1478">
        <w:rPr>
          <w:rFonts w:ascii="Times New Roman" w:hAnsi="Times New Roman" w:cs="Times New Roman"/>
          <w:i/>
          <w:sz w:val="22"/>
          <w:szCs w:val="22"/>
        </w:rPr>
        <w:t>vs</w:t>
      </w:r>
      <w:r w:rsidRPr="003C1478">
        <w:rPr>
          <w:rFonts w:ascii="Times New Roman" w:hAnsi="Times New Roman" w:cs="Times New Roman"/>
          <w:sz w:val="22"/>
          <w:szCs w:val="22"/>
        </w:rPr>
        <w:t>. CRIZ or CER treated cells without Q-VD-</w:t>
      </w:r>
      <w:proofErr w:type="spellStart"/>
      <w:r w:rsidRPr="003C1478">
        <w:rPr>
          <w:rFonts w:ascii="Times New Roman" w:hAnsi="Times New Roman" w:cs="Times New Roman"/>
          <w:sz w:val="22"/>
          <w:szCs w:val="22"/>
        </w:rPr>
        <w:t>Oph</w:t>
      </w:r>
      <w:proofErr w:type="spellEnd"/>
      <w:r w:rsidRPr="003C1478">
        <w:rPr>
          <w:rFonts w:ascii="Times New Roman" w:hAnsi="Times New Roman" w:cs="Times New Roman"/>
          <w:sz w:val="22"/>
          <w:szCs w:val="22"/>
        </w:rPr>
        <w:t xml:space="preserve"> (DAPI</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cells). </w:t>
      </w:r>
      <w:r w:rsidR="006629E5" w:rsidRPr="003C1478">
        <w:rPr>
          <w:rFonts w:ascii="Times New Roman" w:hAnsi="Times New Roman" w:cs="Times New Roman"/>
          <w:sz w:val="22"/>
          <w:szCs w:val="22"/>
        </w:rPr>
        <w:t xml:space="preserve">###p &lt; 0.001, ####p &lt; 0.0001 </w:t>
      </w:r>
      <w:r w:rsidRPr="003C1478">
        <w:rPr>
          <w:rFonts w:ascii="Times New Roman" w:hAnsi="Times New Roman" w:cs="Times New Roman"/>
          <w:i/>
          <w:sz w:val="22"/>
          <w:szCs w:val="22"/>
        </w:rPr>
        <w:t>vs</w:t>
      </w:r>
      <w:r w:rsidRPr="003C1478">
        <w:rPr>
          <w:rFonts w:ascii="Times New Roman" w:hAnsi="Times New Roman" w:cs="Times New Roman"/>
          <w:sz w:val="22"/>
          <w:szCs w:val="22"/>
        </w:rPr>
        <w:t>. CRIZ or CER treated cells without Q-VD-</w:t>
      </w:r>
      <w:proofErr w:type="spellStart"/>
      <w:r w:rsidRPr="003C1478">
        <w:rPr>
          <w:rFonts w:ascii="Times New Roman" w:hAnsi="Times New Roman" w:cs="Times New Roman"/>
          <w:sz w:val="22"/>
          <w:szCs w:val="22"/>
        </w:rPr>
        <w:t>Oph</w:t>
      </w:r>
      <w:proofErr w:type="spellEnd"/>
      <w:r w:rsidRPr="003C1478">
        <w:rPr>
          <w:rFonts w:ascii="Times New Roman" w:hAnsi="Times New Roman" w:cs="Times New Roman"/>
          <w:sz w:val="22"/>
          <w:szCs w:val="22"/>
        </w:rPr>
        <w:t xml:space="preserve"> (</w:t>
      </w:r>
      <w:proofErr w:type="gramStart"/>
      <w:r w:rsidR="00C30629" w:rsidRPr="00CC09D4">
        <w:rPr>
          <w:rFonts w:ascii="Times New Roman" w:hAnsi="Times New Roman" w:cs="Times New Roman"/>
          <w:sz w:val="22"/>
          <w:szCs w:val="22"/>
        </w:rPr>
        <w:t>DiOC</w:t>
      </w:r>
      <w:r w:rsidR="00C30629" w:rsidRPr="00CC09D4">
        <w:rPr>
          <w:rFonts w:ascii="Times New Roman" w:hAnsi="Times New Roman" w:cs="Times New Roman"/>
          <w:sz w:val="22"/>
          <w:szCs w:val="22"/>
          <w:vertAlign w:val="subscript"/>
        </w:rPr>
        <w:t>6</w:t>
      </w:r>
      <w:r w:rsidR="00C30629" w:rsidRPr="00CC09D4">
        <w:rPr>
          <w:rFonts w:ascii="Times New Roman" w:hAnsi="Times New Roman" w:cs="Times New Roman"/>
          <w:sz w:val="22"/>
          <w:szCs w:val="22"/>
        </w:rPr>
        <w:t>(</w:t>
      </w:r>
      <w:proofErr w:type="gramEnd"/>
      <w:r w:rsidR="00C30629" w:rsidRPr="00CC09D4">
        <w:rPr>
          <w:rFonts w:ascii="Times New Roman" w:hAnsi="Times New Roman" w:cs="Times New Roman"/>
          <w:sz w:val="22"/>
          <w:szCs w:val="22"/>
        </w:rPr>
        <w:t>3)</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DAPI</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cells) (A, B). </w:t>
      </w:r>
    </w:p>
    <w:p w:rsidR="00C7601B" w:rsidRPr="003C1478" w:rsidRDefault="00C7601B" w:rsidP="00475190">
      <w:pPr>
        <w:jc w:val="both"/>
        <w:rPr>
          <w:rFonts w:ascii="Times New Roman" w:hAnsi="Times New Roman" w:cs="Times New Roman"/>
          <w:sz w:val="22"/>
          <w:szCs w:val="22"/>
        </w:rPr>
      </w:pPr>
    </w:p>
    <w:p w:rsidR="00475190"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b/>
          <w:sz w:val="22"/>
          <w:szCs w:val="22"/>
        </w:rPr>
        <w:t>Figure S</w:t>
      </w:r>
      <w:r w:rsidR="00CF3871" w:rsidRPr="003C1478">
        <w:rPr>
          <w:rFonts w:ascii="Times New Roman" w:hAnsi="Times New Roman" w:cs="Times New Roman"/>
          <w:b/>
          <w:sz w:val="22"/>
          <w:szCs w:val="22"/>
        </w:rPr>
        <w:t>3</w:t>
      </w:r>
      <w:r w:rsidRPr="003C1478">
        <w:rPr>
          <w:rFonts w:ascii="Times New Roman" w:hAnsi="Times New Roman" w:cs="Times New Roman"/>
          <w:b/>
          <w:sz w:val="22"/>
          <w:szCs w:val="22"/>
        </w:rPr>
        <w:t>. Crizotinib- and ceritinib-induced immunogenic cell death in SUP-M2</w:t>
      </w:r>
    </w:p>
    <w:p w:rsidR="00475190"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sz w:val="22"/>
          <w:szCs w:val="22"/>
        </w:rPr>
        <w:t>NPM1-ALK</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SUP-M2 cells were treated with </w:t>
      </w:r>
      <w:r w:rsidR="00917B6F" w:rsidRPr="003C1478">
        <w:rPr>
          <w:rFonts w:ascii="Times New Roman" w:hAnsi="Times New Roman" w:cs="Times New Roman"/>
          <w:sz w:val="22"/>
          <w:szCs w:val="22"/>
        </w:rPr>
        <w:t>crizotinib (</w:t>
      </w:r>
      <w:r w:rsidRPr="003C1478">
        <w:rPr>
          <w:rFonts w:ascii="Times New Roman" w:hAnsi="Times New Roman" w:cs="Times New Roman"/>
          <w:sz w:val="22"/>
          <w:szCs w:val="22"/>
        </w:rPr>
        <w:t>CRIZ</w:t>
      </w:r>
      <w:r w:rsidR="00917B6F" w:rsidRPr="003C1478">
        <w:rPr>
          <w:rFonts w:ascii="Times New Roman" w:hAnsi="Times New Roman" w:cs="Times New Roman"/>
          <w:sz w:val="22"/>
          <w:szCs w:val="22"/>
        </w:rPr>
        <w:t>)</w:t>
      </w:r>
      <w:r w:rsidRPr="003C1478">
        <w:rPr>
          <w:rFonts w:ascii="Times New Roman" w:hAnsi="Times New Roman" w:cs="Times New Roman"/>
          <w:sz w:val="22"/>
          <w:szCs w:val="22"/>
        </w:rPr>
        <w:t xml:space="preserve"> or </w:t>
      </w:r>
      <w:r w:rsidR="00917B6F" w:rsidRPr="003C1478">
        <w:rPr>
          <w:rFonts w:ascii="Times New Roman" w:hAnsi="Times New Roman" w:cs="Times New Roman"/>
          <w:sz w:val="22"/>
          <w:szCs w:val="22"/>
        </w:rPr>
        <w:t>ceritinib (</w:t>
      </w:r>
      <w:r w:rsidRPr="003C1478">
        <w:rPr>
          <w:rFonts w:ascii="Times New Roman" w:hAnsi="Times New Roman" w:cs="Times New Roman"/>
          <w:sz w:val="22"/>
          <w:szCs w:val="22"/>
        </w:rPr>
        <w:t>CER</w:t>
      </w:r>
      <w:r w:rsidR="00917B6F" w:rsidRPr="003C1478">
        <w:rPr>
          <w:rFonts w:ascii="Times New Roman" w:hAnsi="Times New Roman" w:cs="Times New Roman"/>
          <w:sz w:val="22"/>
          <w:szCs w:val="22"/>
        </w:rPr>
        <w:t>)</w:t>
      </w:r>
      <w:r w:rsidRPr="003C1478">
        <w:rPr>
          <w:rFonts w:ascii="Times New Roman" w:hAnsi="Times New Roman" w:cs="Times New Roman"/>
          <w:sz w:val="22"/>
          <w:szCs w:val="22"/>
        </w:rPr>
        <w:t xml:space="preserve"> at the indicated concentrations and calreticulin (CALR) exposed on the cell surface was quantified by flow cytometry using an indirect staining. DAPI was used to exclude permeabilized cells. Representative gating strategy is shown in (A) and percentage of CALR</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DAPI</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cells is depicted </w:t>
      </w:r>
      <w:r w:rsidR="006629E5" w:rsidRPr="003C1478">
        <w:rPr>
          <w:rFonts w:ascii="Times New Roman" w:hAnsi="Times New Roman" w:cs="Times New Roman"/>
          <w:sz w:val="22"/>
          <w:szCs w:val="22"/>
        </w:rPr>
        <w:t>for single replicates (n=3)</w:t>
      </w:r>
      <w:r w:rsidRPr="003C1478">
        <w:rPr>
          <w:rFonts w:ascii="Times New Roman" w:hAnsi="Times New Roman" w:cs="Times New Roman"/>
          <w:sz w:val="22"/>
          <w:szCs w:val="22"/>
        </w:rPr>
        <w:t xml:space="preserve"> in (B). </w:t>
      </w:r>
    </w:p>
    <w:p w:rsidR="00475190"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sz w:val="22"/>
          <w:szCs w:val="22"/>
        </w:rPr>
        <w:t>NPM1-ALK</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SUP-M2 cells were treated with CRIZ or CER for 24 h and ATP secreted in the extracellular milieu was quantified using a luciferase-dependent assay. </w:t>
      </w:r>
      <w:r w:rsidR="006629E5" w:rsidRPr="003C1478">
        <w:rPr>
          <w:rFonts w:ascii="Times New Roman" w:hAnsi="Times New Roman" w:cs="Times New Roman"/>
          <w:sz w:val="22"/>
          <w:szCs w:val="22"/>
        </w:rPr>
        <w:t>Values of single replicates (n=3) are</w:t>
      </w:r>
      <w:r w:rsidRPr="003C1478">
        <w:rPr>
          <w:rFonts w:ascii="Times New Roman" w:hAnsi="Times New Roman" w:cs="Times New Roman"/>
          <w:sz w:val="22"/>
          <w:szCs w:val="22"/>
        </w:rPr>
        <w:t xml:space="preserve"> depicted </w:t>
      </w:r>
      <w:r w:rsidR="006629E5" w:rsidRPr="003C1478">
        <w:rPr>
          <w:rFonts w:ascii="Times New Roman" w:hAnsi="Times New Roman" w:cs="Times New Roman"/>
          <w:sz w:val="22"/>
          <w:szCs w:val="22"/>
        </w:rPr>
        <w:t xml:space="preserve">in </w:t>
      </w:r>
      <w:r w:rsidRPr="003C1478">
        <w:rPr>
          <w:rFonts w:ascii="Times New Roman" w:hAnsi="Times New Roman" w:cs="Times New Roman"/>
          <w:sz w:val="22"/>
          <w:szCs w:val="22"/>
        </w:rPr>
        <w:t>(C).</w:t>
      </w:r>
    </w:p>
    <w:p w:rsidR="00475190"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sz w:val="22"/>
          <w:szCs w:val="22"/>
        </w:rPr>
        <w:lastRenderedPageBreak/>
        <w:t>NPM1-ALK</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SUP-M2 cells were treated with CRIZ or CER for 48 h and high mobility group box 1 (HMGB1) was quantified in the supe</w:t>
      </w:r>
      <w:r w:rsidR="006629E5" w:rsidRPr="003C1478">
        <w:rPr>
          <w:rFonts w:ascii="Times New Roman" w:hAnsi="Times New Roman" w:cs="Times New Roman"/>
          <w:sz w:val="22"/>
          <w:szCs w:val="22"/>
        </w:rPr>
        <w:t xml:space="preserve">rnatant using a specific ELISA (n=3) </w:t>
      </w:r>
      <w:r w:rsidRPr="003C1478">
        <w:rPr>
          <w:rFonts w:ascii="Times New Roman" w:hAnsi="Times New Roman" w:cs="Times New Roman"/>
          <w:sz w:val="22"/>
          <w:szCs w:val="22"/>
        </w:rPr>
        <w:t>(D). One representative out of three indep</w:t>
      </w:r>
      <w:r w:rsidR="006629E5" w:rsidRPr="003C1478">
        <w:rPr>
          <w:rFonts w:ascii="Times New Roman" w:hAnsi="Times New Roman" w:cs="Times New Roman"/>
          <w:sz w:val="22"/>
          <w:szCs w:val="22"/>
        </w:rPr>
        <w:t>endent experiments is shown (B-D</w:t>
      </w:r>
      <w:r w:rsidRPr="003C1478">
        <w:rPr>
          <w:rFonts w:ascii="Times New Roman" w:hAnsi="Times New Roman" w:cs="Times New Roman"/>
          <w:sz w:val="22"/>
          <w:szCs w:val="22"/>
        </w:rPr>
        <w:t>).</w:t>
      </w:r>
    </w:p>
    <w:p w:rsidR="00475190"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sz w:val="22"/>
          <w:szCs w:val="22"/>
        </w:rPr>
        <w:t>NPM1-ALK</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SUP-M2 cells were treated with 1 </w:t>
      </w:r>
      <w:r w:rsidRPr="003C1478">
        <w:rPr>
          <w:rFonts w:ascii="Symbol" w:hAnsi="Symbol" w:cs="Times New Roman"/>
          <w:sz w:val="22"/>
          <w:szCs w:val="22"/>
        </w:rPr>
        <w:t></w:t>
      </w:r>
      <w:r w:rsidRPr="003C1478">
        <w:rPr>
          <w:rFonts w:ascii="Times New Roman" w:hAnsi="Times New Roman" w:cs="Times New Roman"/>
          <w:sz w:val="22"/>
          <w:szCs w:val="22"/>
        </w:rPr>
        <w:t xml:space="preserve">M of CRIZ for 16-18 h. </w:t>
      </w:r>
      <w:r w:rsidRPr="003C1478">
        <w:rPr>
          <w:rFonts w:ascii="Times New Roman" w:hAnsi="Times New Roman" w:cs="Times New Roman"/>
          <w:i/>
          <w:iCs/>
          <w:sz w:val="22"/>
          <w:szCs w:val="22"/>
        </w:rPr>
        <w:t>IFNB1</w:t>
      </w:r>
      <w:r w:rsidRPr="003C1478">
        <w:rPr>
          <w:rFonts w:ascii="Times New Roman" w:hAnsi="Times New Roman" w:cs="Times New Roman"/>
          <w:sz w:val="22"/>
          <w:szCs w:val="22"/>
        </w:rPr>
        <w:t xml:space="preserve"> and </w:t>
      </w:r>
      <w:r w:rsidRPr="003C1478">
        <w:rPr>
          <w:rFonts w:ascii="Times New Roman" w:hAnsi="Times New Roman" w:cs="Times New Roman"/>
          <w:i/>
          <w:iCs/>
          <w:sz w:val="22"/>
          <w:szCs w:val="22"/>
        </w:rPr>
        <w:t xml:space="preserve">CXCL10 </w:t>
      </w:r>
      <w:r w:rsidRPr="003C1478">
        <w:rPr>
          <w:rFonts w:ascii="Times New Roman" w:hAnsi="Times New Roman" w:cs="Times New Roman"/>
          <w:sz w:val="22"/>
          <w:szCs w:val="22"/>
        </w:rPr>
        <w:t xml:space="preserve">up-regulation was assessed by quantitative PCR using specific fluorescently labeled primer-probe sets. </w:t>
      </w:r>
      <w:r w:rsidRPr="003C1478">
        <w:rPr>
          <w:rFonts w:ascii="Times New Roman" w:hAnsi="Times New Roman" w:cs="Times New Roman"/>
          <w:i/>
          <w:sz w:val="22"/>
          <w:szCs w:val="22"/>
        </w:rPr>
        <w:t>GAPDH</w:t>
      </w:r>
      <w:r w:rsidRPr="003C1478">
        <w:rPr>
          <w:rFonts w:ascii="Times New Roman" w:hAnsi="Times New Roman" w:cs="Times New Roman"/>
          <w:sz w:val="22"/>
          <w:szCs w:val="22"/>
        </w:rPr>
        <w:t xml:space="preserve"> was used as housekeeping gene. </w:t>
      </w:r>
      <w:r w:rsidR="006629E5" w:rsidRPr="003C1478">
        <w:rPr>
          <w:rFonts w:ascii="Times New Roman" w:hAnsi="Times New Roman" w:cs="Times New Roman"/>
          <w:sz w:val="22"/>
          <w:szCs w:val="22"/>
        </w:rPr>
        <w:t>Fold increases</w:t>
      </w:r>
      <w:r w:rsidRPr="003C1478">
        <w:rPr>
          <w:rFonts w:ascii="Times New Roman" w:hAnsi="Times New Roman" w:cs="Times New Roman"/>
          <w:sz w:val="22"/>
          <w:szCs w:val="22"/>
        </w:rPr>
        <w:t xml:space="preserve"> of three independent experiments </w:t>
      </w:r>
      <w:r w:rsidR="006629E5" w:rsidRPr="003C1478">
        <w:rPr>
          <w:rFonts w:ascii="Times New Roman" w:hAnsi="Times New Roman" w:cs="Times New Roman"/>
          <w:sz w:val="22"/>
          <w:szCs w:val="22"/>
        </w:rPr>
        <w:t>are shown</w:t>
      </w:r>
      <w:r w:rsidRPr="003C1478">
        <w:rPr>
          <w:rFonts w:ascii="Times New Roman" w:hAnsi="Times New Roman" w:cs="Times New Roman"/>
          <w:sz w:val="22"/>
          <w:szCs w:val="22"/>
        </w:rPr>
        <w:t xml:space="preserve"> (G). </w:t>
      </w:r>
    </w:p>
    <w:p w:rsidR="00475190"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sz w:val="22"/>
          <w:szCs w:val="22"/>
        </w:rPr>
        <w:t>Statistical significance was calculated using the Student’s t-test. *p &lt; 0.05, **p &lt; 0.01, ***p &lt; 0.001</w:t>
      </w:r>
      <w:r w:rsidR="00CF3871" w:rsidRPr="003C1478">
        <w:rPr>
          <w:rFonts w:ascii="Times New Roman" w:hAnsi="Times New Roman" w:cs="Times New Roman"/>
          <w:sz w:val="22"/>
          <w:szCs w:val="22"/>
        </w:rPr>
        <w:t xml:space="preserve">, ****p &lt; 0.0001 </w:t>
      </w:r>
      <w:r w:rsidRPr="003C1478">
        <w:rPr>
          <w:rFonts w:ascii="Times New Roman" w:hAnsi="Times New Roman" w:cs="Times New Roman"/>
          <w:i/>
          <w:sz w:val="22"/>
          <w:szCs w:val="22"/>
        </w:rPr>
        <w:t>vs.</w:t>
      </w:r>
      <w:r w:rsidR="006629E5" w:rsidRPr="003C1478">
        <w:rPr>
          <w:rFonts w:ascii="Times New Roman" w:hAnsi="Times New Roman" w:cs="Times New Roman"/>
          <w:sz w:val="22"/>
          <w:szCs w:val="22"/>
        </w:rPr>
        <w:t xml:space="preserve"> vehicle-treated cells (B-E)</w:t>
      </w:r>
      <w:r w:rsidRPr="003C1478">
        <w:rPr>
          <w:rFonts w:ascii="Times New Roman" w:hAnsi="Times New Roman" w:cs="Times New Roman"/>
          <w:sz w:val="22"/>
          <w:szCs w:val="22"/>
        </w:rPr>
        <w:t xml:space="preserve">. </w:t>
      </w:r>
    </w:p>
    <w:p w:rsidR="00DD54C9" w:rsidRPr="003C1478" w:rsidRDefault="00DD54C9" w:rsidP="00475190">
      <w:pPr>
        <w:jc w:val="both"/>
        <w:rPr>
          <w:rFonts w:ascii="Times New Roman" w:hAnsi="Times New Roman" w:cs="Times New Roman"/>
          <w:sz w:val="22"/>
          <w:szCs w:val="22"/>
        </w:rPr>
      </w:pPr>
    </w:p>
    <w:p w:rsidR="00475190"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b/>
          <w:sz w:val="22"/>
          <w:szCs w:val="22"/>
        </w:rPr>
        <w:t>Figure S</w:t>
      </w:r>
      <w:r w:rsidR="00CF3871" w:rsidRPr="003C1478">
        <w:rPr>
          <w:rFonts w:ascii="Times New Roman" w:hAnsi="Times New Roman" w:cs="Times New Roman"/>
          <w:b/>
          <w:sz w:val="22"/>
          <w:szCs w:val="22"/>
        </w:rPr>
        <w:t>4</w:t>
      </w:r>
      <w:r w:rsidRPr="003C1478">
        <w:rPr>
          <w:rFonts w:ascii="Times New Roman" w:hAnsi="Times New Roman" w:cs="Times New Roman"/>
          <w:b/>
          <w:sz w:val="22"/>
          <w:szCs w:val="22"/>
        </w:rPr>
        <w:t xml:space="preserve">. ALK downstream pathway analysis </w:t>
      </w:r>
    </w:p>
    <w:p w:rsidR="00DD54C9" w:rsidRPr="003C1478" w:rsidRDefault="00475190" w:rsidP="00475190">
      <w:pPr>
        <w:jc w:val="both"/>
        <w:rPr>
          <w:rFonts w:ascii="Times New Roman" w:hAnsi="Times New Roman" w:cs="Times New Roman"/>
          <w:sz w:val="22"/>
          <w:szCs w:val="22"/>
        </w:rPr>
      </w:pPr>
      <w:r w:rsidRPr="003C1478">
        <w:rPr>
          <w:rFonts w:ascii="Times New Roman" w:hAnsi="Times New Roman" w:cs="Times New Roman"/>
          <w:sz w:val="22"/>
          <w:szCs w:val="22"/>
        </w:rPr>
        <w:t>Human NPM1-ALK</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SU-DHL-1 (A) and SUP-M2 (B) cells were treated for 4 h with </w:t>
      </w:r>
      <w:proofErr w:type="spellStart"/>
      <w:r w:rsidRPr="003C1478">
        <w:rPr>
          <w:rFonts w:ascii="Times New Roman" w:hAnsi="Times New Roman" w:cs="Times New Roman"/>
          <w:sz w:val="22"/>
          <w:szCs w:val="22"/>
        </w:rPr>
        <w:t>mTOR</w:t>
      </w:r>
      <w:proofErr w:type="spellEnd"/>
      <w:r w:rsidRPr="003C1478">
        <w:rPr>
          <w:rFonts w:ascii="Times New Roman" w:hAnsi="Times New Roman" w:cs="Times New Roman"/>
          <w:sz w:val="22"/>
          <w:szCs w:val="22"/>
        </w:rPr>
        <w:t xml:space="preserve">/PI3K, PI3K, ERK1/2 or ALK inhibitors </w:t>
      </w:r>
      <w:r w:rsidR="00DC31FB" w:rsidRPr="003C1478">
        <w:rPr>
          <w:rFonts w:ascii="Times New Roman" w:hAnsi="Times New Roman" w:cs="Times New Roman"/>
          <w:sz w:val="22"/>
          <w:szCs w:val="22"/>
        </w:rPr>
        <w:t xml:space="preserve">(BEZ235, BKM120, PD0325901, crizotinib) </w:t>
      </w:r>
      <w:r w:rsidRPr="003C1478">
        <w:rPr>
          <w:rFonts w:ascii="Times New Roman" w:hAnsi="Times New Roman" w:cs="Times New Roman"/>
          <w:sz w:val="22"/>
          <w:szCs w:val="22"/>
        </w:rPr>
        <w:t>at the indicated concentrations. After treatment, proteins were extracted, separated on polyacrylamide gels and transferred to nitrocellulose membranes. Phosphorylation levels of eIF2</w:t>
      </w:r>
      <w:r w:rsidRPr="003C1478">
        <w:rPr>
          <w:rFonts w:ascii="Symbol" w:hAnsi="Symbol" w:cs="Times New Roman"/>
          <w:sz w:val="22"/>
          <w:szCs w:val="22"/>
        </w:rPr>
        <w:t></w:t>
      </w:r>
      <w:r w:rsidRPr="003C1478">
        <w:rPr>
          <w:rFonts w:ascii="Times New Roman" w:hAnsi="Times New Roman" w:cs="Times New Roman"/>
          <w:sz w:val="22"/>
          <w:szCs w:val="22"/>
        </w:rPr>
        <w:t xml:space="preserve">, </w:t>
      </w:r>
      <w:proofErr w:type="spellStart"/>
      <w:r w:rsidRPr="003C1478">
        <w:rPr>
          <w:rFonts w:ascii="Times New Roman" w:hAnsi="Times New Roman" w:cs="Times New Roman"/>
          <w:sz w:val="22"/>
          <w:szCs w:val="22"/>
        </w:rPr>
        <w:t>Akt</w:t>
      </w:r>
      <w:proofErr w:type="spellEnd"/>
      <w:r w:rsidRPr="003C1478">
        <w:rPr>
          <w:rFonts w:ascii="Times New Roman" w:hAnsi="Times New Roman" w:cs="Times New Roman"/>
          <w:sz w:val="22"/>
          <w:szCs w:val="22"/>
        </w:rPr>
        <w:t xml:space="preserve"> and ERK1/2, together with caspase-3 and -8 cleavage, were evaluated. Actin was used as loading control. The images are representative of one experiment out of n=3. </w:t>
      </w:r>
    </w:p>
    <w:p w:rsidR="00DD54C9" w:rsidRPr="003C1478" w:rsidRDefault="00DD54C9" w:rsidP="00475190">
      <w:pPr>
        <w:jc w:val="both"/>
        <w:rPr>
          <w:rFonts w:ascii="Times New Roman" w:hAnsi="Times New Roman" w:cs="Times New Roman"/>
          <w:sz w:val="22"/>
          <w:szCs w:val="22"/>
        </w:rPr>
      </w:pPr>
    </w:p>
    <w:p w:rsidR="00F47542" w:rsidRPr="003C1478" w:rsidRDefault="00F47542" w:rsidP="00475190">
      <w:pPr>
        <w:jc w:val="both"/>
        <w:rPr>
          <w:rFonts w:ascii="Times New Roman" w:hAnsi="Times New Roman" w:cs="Times New Roman"/>
          <w:sz w:val="22"/>
          <w:szCs w:val="22"/>
        </w:rPr>
      </w:pPr>
      <w:r w:rsidRPr="003C1478">
        <w:rPr>
          <w:rFonts w:ascii="Times New Roman" w:hAnsi="Times New Roman" w:cs="Times New Roman"/>
          <w:b/>
          <w:sz w:val="22"/>
          <w:szCs w:val="22"/>
        </w:rPr>
        <w:t>Figure S5. Representative gating strategy of quinacrine staining</w:t>
      </w:r>
    </w:p>
    <w:p w:rsidR="00E21286" w:rsidRPr="003C1478" w:rsidRDefault="00F47542">
      <w:pPr>
        <w:rPr>
          <w:rFonts w:ascii="Times New Roman" w:hAnsi="Times New Roman" w:cs="Times New Roman"/>
          <w:sz w:val="22"/>
          <w:szCs w:val="22"/>
        </w:rPr>
      </w:pPr>
      <w:r w:rsidRPr="003C1478">
        <w:rPr>
          <w:rFonts w:ascii="Times New Roman" w:hAnsi="Times New Roman" w:cs="Times New Roman"/>
          <w:sz w:val="22"/>
          <w:szCs w:val="22"/>
        </w:rPr>
        <w:t xml:space="preserve">Quinacrine propensity to accumulate in ATP-rich vesicles was exploited to quantify the intracellular content of ATP by flow cytometry after 16-18 h of treatment. DAPI was employed as exclusion dye for permeabilized cells. Representative </w:t>
      </w:r>
      <w:r w:rsidR="008D6D9B" w:rsidRPr="003C1478">
        <w:rPr>
          <w:rFonts w:ascii="Times New Roman" w:hAnsi="Times New Roman" w:cs="Times New Roman"/>
          <w:sz w:val="22"/>
          <w:szCs w:val="22"/>
        </w:rPr>
        <w:t>gating strategy used for SU-DHL-1 (A) and SUP-M2 (B) is shown.</w:t>
      </w:r>
    </w:p>
    <w:p w:rsidR="00DD54C9" w:rsidRPr="003C1478" w:rsidRDefault="00DD54C9">
      <w:pPr>
        <w:rPr>
          <w:rFonts w:ascii="Times New Roman" w:hAnsi="Times New Roman" w:cs="Times New Roman"/>
          <w:sz w:val="22"/>
          <w:szCs w:val="22"/>
        </w:rPr>
      </w:pPr>
    </w:p>
    <w:p w:rsidR="00DD54C9" w:rsidRPr="003C1478" w:rsidRDefault="00DD54C9" w:rsidP="00DD54C9">
      <w:pPr>
        <w:rPr>
          <w:rFonts w:ascii="Times New Roman" w:hAnsi="Times New Roman" w:cs="Times New Roman"/>
          <w:b/>
          <w:sz w:val="22"/>
          <w:szCs w:val="22"/>
        </w:rPr>
      </w:pPr>
      <w:r w:rsidRPr="003C1478">
        <w:rPr>
          <w:rFonts w:ascii="Times New Roman" w:hAnsi="Times New Roman" w:cs="Times New Roman"/>
          <w:b/>
          <w:sz w:val="22"/>
          <w:szCs w:val="22"/>
        </w:rPr>
        <w:t xml:space="preserve">Figure S6. Induction of cell death and ICD-associated alterations by two PI3K inhibitors, </w:t>
      </w:r>
      <w:r w:rsidR="003B1F4B" w:rsidRPr="003C1478">
        <w:rPr>
          <w:rFonts w:ascii="Times New Roman" w:hAnsi="Times New Roman" w:cs="Times New Roman"/>
          <w:b/>
          <w:sz w:val="22"/>
          <w:szCs w:val="22"/>
        </w:rPr>
        <w:t xml:space="preserve">BYL719 </w:t>
      </w:r>
      <w:r w:rsidRPr="003C1478">
        <w:rPr>
          <w:rFonts w:ascii="Times New Roman" w:hAnsi="Times New Roman" w:cs="Times New Roman"/>
          <w:b/>
          <w:sz w:val="22"/>
          <w:szCs w:val="22"/>
        </w:rPr>
        <w:t xml:space="preserve">and </w:t>
      </w:r>
      <w:r w:rsidR="003B1F4B" w:rsidRPr="003C1478">
        <w:rPr>
          <w:rFonts w:ascii="Times New Roman" w:hAnsi="Times New Roman" w:cs="Times New Roman"/>
          <w:b/>
          <w:sz w:val="22"/>
          <w:szCs w:val="22"/>
        </w:rPr>
        <w:t>XL147</w:t>
      </w:r>
    </w:p>
    <w:p w:rsidR="00DD54C9" w:rsidRDefault="00DD54C9">
      <w:pPr>
        <w:rPr>
          <w:rFonts w:ascii="Times New Roman" w:hAnsi="Times New Roman" w:cs="Times New Roman"/>
          <w:sz w:val="22"/>
          <w:szCs w:val="22"/>
        </w:rPr>
      </w:pPr>
      <w:r w:rsidRPr="003C1478">
        <w:rPr>
          <w:rFonts w:ascii="Times New Roman" w:hAnsi="Times New Roman" w:cs="Times New Roman"/>
          <w:sz w:val="22"/>
          <w:szCs w:val="22"/>
        </w:rPr>
        <w:lastRenderedPageBreak/>
        <w:t>SU-DHL-1</w:t>
      </w:r>
      <w:r w:rsidR="0092167F" w:rsidRPr="003C1478">
        <w:rPr>
          <w:rFonts w:ascii="Times New Roman" w:hAnsi="Times New Roman" w:cs="Times New Roman"/>
          <w:sz w:val="22"/>
          <w:szCs w:val="22"/>
        </w:rPr>
        <w:t xml:space="preserve"> and SUP-M2 were treated with 0.1</w:t>
      </w:r>
      <w:r w:rsidRPr="003C1478">
        <w:rPr>
          <w:rFonts w:ascii="Times New Roman" w:hAnsi="Times New Roman" w:cs="Times New Roman"/>
          <w:sz w:val="22"/>
          <w:szCs w:val="22"/>
        </w:rPr>
        <w:t xml:space="preserve"> </w:t>
      </w:r>
      <w:r w:rsidR="0092167F" w:rsidRPr="003C1478">
        <w:rPr>
          <w:rFonts w:ascii="Symbol" w:hAnsi="Symbol" w:cs="Times New Roman"/>
          <w:sz w:val="22"/>
          <w:szCs w:val="22"/>
        </w:rPr>
        <w:t></w:t>
      </w:r>
      <w:r w:rsidR="0092167F" w:rsidRPr="003C1478">
        <w:rPr>
          <w:rFonts w:ascii="Times New Roman" w:hAnsi="Times New Roman" w:cs="Times New Roman"/>
          <w:sz w:val="22"/>
          <w:szCs w:val="22"/>
        </w:rPr>
        <w:t>M, 0.2</w:t>
      </w:r>
      <w:r w:rsidRPr="003C1478">
        <w:rPr>
          <w:rFonts w:ascii="Times New Roman" w:hAnsi="Times New Roman" w:cs="Times New Roman"/>
          <w:sz w:val="22"/>
          <w:szCs w:val="22"/>
        </w:rPr>
        <w:t xml:space="preserve"> </w:t>
      </w:r>
      <w:r w:rsidR="0092167F" w:rsidRPr="003C1478">
        <w:rPr>
          <w:rFonts w:ascii="Symbol" w:hAnsi="Symbol" w:cs="Times New Roman"/>
          <w:sz w:val="22"/>
          <w:szCs w:val="22"/>
        </w:rPr>
        <w:t></w:t>
      </w:r>
      <w:r w:rsidR="0092167F" w:rsidRPr="003C1478">
        <w:rPr>
          <w:rFonts w:ascii="Times New Roman" w:hAnsi="Times New Roman" w:cs="Times New Roman"/>
          <w:sz w:val="22"/>
          <w:szCs w:val="22"/>
        </w:rPr>
        <w:t>M, 0.5</w:t>
      </w:r>
      <w:r w:rsidRPr="003C1478">
        <w:rPr>
          <w:rFonts w:ascii="Times New Roman" w:hAnsi="Times New Roman" w:cs="Times New Roman"/>
          <w:sz w:val="22"/>
          <w:szCs w:val="22"/>
        </w:rPr>
        <w:t xml:space="preserve"> </w:t>
      </w:r>
      <w:r w:rsidR="0092167F" w:rsidRPr="003C1478">
        <w:rPr>
          <w:rFonts w:ascii="Symbol" w:hAnsi="Symbol" w:cs="Times New Roman"/>
          <w:sz w:val="22"/>
          <w:szCs w:val="22"/>
        </w:rPr>
        <w:t></w:t>
      </w:r>
      <w:r w:rsidR="0092167F" w:rsidRPr="003C1478">
        <w:rPr>
          <w:rFonts w:ascii="Times New Roman" w:hAnsi="Times New Roman" w:cs="Times New Roman"/>
          <w:sz w:val="22"/>
          <w:szCs w:val="22"/>
        </w:rPr>
        <w:t>M</w:t>
      </w:r>
      <w:r w:rsidRPr="003C1478">
        <w:rPr>
          <w:rFonts w:ascii="Times New Roman" w:hAnsi="Times New Roman" w:cs="Times New Roman"/>
          <w:sz w:val="22"/>
          <w:szCs w:val="22"/>
        </w:rPr>
        <w:t xml:space="preserve">, 1 </w:t>
      </w:r>
      <w:r w:rsidRPr="003C1478">
        <w:rPr>
          <w:rFonts w:ascii="Symbol" w:hAnsi="Symbol" w:cs="Times New Roman"/>
          <w:sz w:val="22"/>
          <w:szCs w:val="22"/>
        </w:rPr>
        <w:t></w:t>
      </w:r>
      <w:r w:rsidRPr="003C1478">
        <w:rPr>
          <w:rFonts w:ascii="Times New Roman" w:hAnsi="Times New Roman" w:cs="Times New Roman"/>
          <w:sz w:val="22"/>
          <w:szCs w:val="22"/>
        </w:rPr>
        <w:t xml:space="preserve">M, 2 </w:t>
      </w:r>
      <w:r w:rsidRPr="003C1478">
        <w:rPr>
          <w:rFonts w:ascii="Symbol" w:hAnsi="Symbol" w:cs="Times New Roman"/>
          <w:sz w:val="22"/>
          <w:szCs w:val="22"/>
        </w:rPr>
        <w:t></w:t>
      </w:r>
      <w:r w:rsidRPr="003C1478">
        <w:rPr>
          <w:rFonts w:ascii="Times New Roman" w:hAnsi="Times New Roman" w:cs="Times New Roman"/>
          <w:sz w:val="22"/>
          <w:szCs w:val="22"/>
        </w:rPr>
        <w:t xml:space="preserve">M, 5 </w:t>
      </w:r>
      <w:r w:rsidRPr="003C1478">
        <w:rPr>
          <w:rFonts w:ascii="Symbol" w:hAnsi="Symbol" w:cs="Times New Roman"/>
          <w:sz w:val="22"/>
          <w:szCs w:val="22"/>
        </w:rPr>
        <w:t></w:t>
      </w:r>
      <w:r w:rsidRPr="003C1478">
        <w:rPr>
          <w:rFonts w:ascii="Times New Roman" w:hAnsi="Times New Roman" w:cs="Times New Roman"/>
          <w:sz w:val="22"/>
          <w:szCs w:val="22"/>
        </w:rPr>
        <w:t xml:space="preserve">M, 10 </w:t>
      </w:r>
      <w:r w:rsidRPr="003C1478">
        <w:rPr>
          <w:rFonts w:ascii="Symbol" w:hAnsi="Symbol" w:cs="Times New Roman"/>
          <w:sz w:val="22"/>
          <w:szCs w:val="22"/>
        </w:rPr>
        <w:t></w:t>
      </w:r>
      <w:r w:rsidRPr="003C1478">
        <w:rPr>
          <w:rFonts w:ascii="Times New Roman" w:hAnsi="Times New Roman" w:cs="Times New Roman"/>
          <w:sz w:val="22"/>
          <w:szCs w:val="22"/>
        </w:rPr>
        <w:t xml:space="preserve">M, 20 </w:t>
      </w:r>
      <w:r w:rsidRPr="003C1478">
        <w:rPr>
          <w:rFonts w:ascii="Symbol" w:hAnsi="Symbol" w:cs="Times New Roman"/>
          <w:sz w:val="22"/>
          <w:szCs w:val="22"/>
        </w:rPr>
        <w:t></w:t>
      </w:r>
      <w:r w:rsidRPr="003C1478">
        <w:rPr>
          <w:rFonts w:ascii="Times New Roman" w:hAnsi="Times New Roman" w:cs="Times New Roman"/>
          <w:sz w:val="22"/>
          <w:szCs w:val="22"/>
        </w:rPr>
        <w:t xml:space="preserve">M and 50 </w:t>
      </w:r>
      <w:r w:rsidRPr="003C1478">
        <w:rPr>
          <w:rFonts w:ascii="Symbol" w:hAnsi="Symbol" w:cs="Times New Roman"/>
          <w:sz w:val="22"/>
          <w:szCs w:val="22"/>
        </w:rPr>
        <w:t></w:t>
      </w:r>
      <w:r w:rsidRPr="003C1478">
        <w:rPr>
          <w:rFonts w:ascii="Times New Roman" w:hAnsi="Times New Roman" w:cs="Times New Roman"/>
          <w:sz w:val="22"/>
          <w:szCs w:val="22"/>
        </w:rPr>
        <w:t xml:space="preserve">M of </w:t>
      </w:r>
      <w:r w:rsidR="003B1F4B" w:rsidRPr="003C1478">
        <w:rPr>
          <w:rFonts w:ascii="Times New Roman" w:hAnsi="Times New Roman" w:cs="Times New Roman"/>
          <w:sz w:val="22"/>
          <w:szCs w:val="22"/>
        </w:rPr>
        <w:t>BYL719 (BYL</w:t>
      </w:r>
      <w:r w:rsidRPr="003C1478">
        <w:rPr>
          <w:rFonts w:ascii="Times New Roman" w:hAnsi="Times New Roman" w:cs="Times New Roman"/>
          <w:sz w:val="22"/>
          <w:szCs w:val="22"/>
        </w:rPr>
        <w:t xml:space="preserve">) or </w:t>
      </w:r>
      <w:r w:rsidR="003B1F4B" w:rsidRPr="003C1478">
        <w:rPr>
          <w:rFonts w:ascii="Times New Roman" w:hAnsi="Times New Roman" w:cs="Times New Roman"/>
          <w:sz w:val="22"/>
          <w:szCs w:val="22"/>
        </w:rPr>
        <w:t>XL147 (XL</w:t>
      </w:r>
      <w:r w:rsidRPr="003C1478">
        <w:rPr>
          <w:rFonts w:ascii="Times New Roman" w:hAnsi="Times New Roman" w:cs="Times New Roman"/>
          <w:sz w:val="22"/>
          <w:szCs w:val="22"/>
        </w:rPr>
        <w:t>) and cell death was evaluated using DiOC</w:t>
      </w:r>
      <w:r w:rsidRPr="003C1478">
        <w:rPr>
          <w:rFonts w:ascii="Times New Roman" w:hAnsi="Times New Roman" w:cs="Times New Roman"/>
          <w:sz w:val="22"/>
          <w:szCs w:val="22"/>
          <w:vertAlign w:val="subscript"/>
        </w:rPr>
        <w:t>6</w:t>
      </w:r>
      <w:r w:rsidRPr="003C1478">
        <w:rPr>
          <w:rFonts w:ascii="Times New Roman" w:hAnsi="Times New Roman" w:cs="Times New Roman"/>
          <w:sz w:val="22"/>
          <w:szCs w:val="22"/>
        </w:rPr>
        <w:t>(3) and DAPI after 24 h. The number of live cells (</w:t>
      </w:r>
      <w:proofErr w:type="gramStart"/>
      <w:r w:rsidR="00C30629" w:rsidRPr="00CC09D4">
        <w:rPr>
          <w:rFonts w:ascii="Times New Roman" w:hAnsi="Times New Roman" w:cs="Times New Roman"/>
          <w:sz w:val="22"/>
          <w:szCs w:val="22"/>
        </w:rPr>
        <w:t>DiOC</w:t>
      </w:r>
      <w:r w:rsidR="00C30629" w:rsidRPr="00CC09D4">
        <w:rPr>
          <w:rFonts w:ascii="Times New Roman" w:hAnsi="Times New Roman" w:cs="Times New Roman"/>
          <w:sz w:val="22"/>
          <w:szCs w:val="22"/>
          <w:vertAlign w:val="subscript"/>
        </w:rPr>
        <w:t>6</w:t>
      </w:r>
      <w:r w:rsidR="00C30629" w:rsidRPr="00CC09D4">
        <w:rPr>
          <w:rFonts w:ascii="Times New Roman" w:hAnsi="Times New Roman" w:cs="Times New Roman"/>
          <w:sz w:val="22"/>
          <w:szCs w:val="22"/>
        </w:rPr>
        <w:t>(</w:t>
      </w:r>
      <w:proofErr w:type="gramEnd"/>
      <w:r w:rsidR="00C30629" w:rsidRPr="00CC09D4">
        <w:rPr>
          <w:rFonts w:ascii="Times New Roman" w:hAnsi="Times New Roman" w:cs="Times New Roman"/>
          <w:sz w:val="22"/>
          <w:szCs w:val="22"/>
        </w:rPr>
        <w:t>3)</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DAPI</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normalized to vehicle control, is represented </w:t>
      </w:r>
      <w:r w:rsidR="006629E5" w:rsidRPr="003C1478">
        <w:rPr>
          <w:rFonts w:ascii="Times New Roman" w:hAnsi="Times New Roman" w:cs="Times New Roman"/>
          <w:sz w:val="22"/>
          <w:szCs w:val="22"/>
        </w:rPr>
        <w:t>for single replicates</w:t>
      </w:r>
      <w:r w:rsidRPr="003C1478">
        <w:rPr>
          <w:rFonts w:ascii="Times New Roman" w:hAnsi="Times New Roman" w:cs="Times New Roman"/>
          <w:sz w:val="22"/>
          <w:szCs w:val="22"/>
        </w:rPr>
        <w:t xml:space="preserve"> (A). Calreticulin exposure was measured by means of indirect fluorescent staining at 18 and 24 h for SU-DHL-1 and SUP-M2 cells, respectively (B). ATP release quantified after 18 h (C) and HMGB1 </w:t>
      </w:r>
      <w:r w:rsidR="007222A5">
        <w:rPr>
          <w:rFonts w:ascii="Times New Roman" w:hAnsi="Times New Roman" w:cs="Times New Roman"/>
          <w:sz w:val="22"/>
          <w:szCs w:val="22"/>
        </w:rPr>
        <w:t>exodus</w:t>
      </w:r>
      <w:r w:rsidRPr="003C1478">
        <w:rPr>
          <w:rFonts w:ascii="Times New Roman" w:hAnsi="Times New Roman" w:cs="Times New Roman"/>
          <w:sz w:val="22"/>
          <w:szCs w:val="22"/>
        </w:rPr>
        <w:t xml:space="preserve"> after 24 h (D). </w:t>
      </w:r>
      <w:r w:rsidR="006629E5" w:rsidRPr="003C1478">
        <w:rPr>
          <w:rFonts w:ascii="Times New Roman" w:hAnsi="Times New Roman" w:cs="Times New Roman"/>
          <w:sz w:val="22"/>
          <w:szCs w:val="22"/>
        </w:rPr>
        <w:t>Values</w:t>
      </w:r>
      <w:r w:rsidRPr="003C1478">
        <w:rPr>
          <w:rFonts w:ascii="Times New Roman" w:hAnsi="Times New Roman" w:cs="Times New Roman"/>
          <w:sz w:val="22"/>
          <w:szCs w:val="22"/>
        </w:rPr>
        <w:t xml:space="preserve"> </w:t>
      </w:r>
      <w:r w:rsidR="006629E5" w:rsidRPr="003C1478">
        <w:rPr>
          <w:rFonts w:ascii="Times New Roman" w:hAnsi="Times New Roman" w:cs="Times New Roman"/>
          <w:sz w:val="22"/>
          <w:szCs w:val="22"/>
        </w:rPr>
        <w:t xml:space="preserve">(n=3) </w:t>
      </w:r>
      <w:r w:rsidRPr="003C1478">
        <w:rPr>
          <w:rFonts w:ascii="Times New Roman" w:hAnsi="Times New Roman" w:cs="Times New Roman"/>
          <w:sz w:val="22"/>
          <w:szCs w:val="22"/>
        </w:rPr>
        <w:t>of one representative experiment out of two are shown</w:t>
      </w:r>
      <w:r w:rsidR="00446406" w:rsidRPr="003C1478">
        <w:rPr>
          <w:rFonts w:ascii="Times New Roman" w:hAnsi="Times New Roman" w:cs="Times New Roman"/>
          <w:sz w:val="22"/>
          <w:szCs w:val="22"/>
        </w:rPr>
        <w:t xml:space="preserve"> (A-D)</w:t>
      </w:r>
      <w:r w:rsidRPr="003C1478">
        <w:rPr>
          <w:rFonts w:ascii="Times New Roman" w:hAnsi="Times New Roman" w:cs="Times New Roman"/>
          <w:sz w:val="22"/>
          <w:szCs w:val="22"/>
        </w:rPr>
        <w:t>. Numbers indicate µM concentrations. Statistical significance was calculated using the Student’s t-test. *p &lt; 0.05, **p &lt; 0.01, ***p &lt; 0.001, ****p</w:t>
      </w:r>
      <w:r w:rsidR="006C1228">
        <w:rPr>
          <w:rFonts w:ascii="Times New Roman" w:hAnsi="Times New Roman" w:cs="Times New Roman"/>
          <w:sz w:val="22"/>
          <w:szCs w:val="22"/>
        </w:rPr>
        <w:t xml:space="preserve"> </w:t>
      </w:r>
      <w:r w:rsidRPr="003C1478">
        <w:rPr>
          <w:rFonts w:ascii="Times New Roman" w:hAnsi="Times New Roman" w:cs="Times New Roman"/>
          <w:sz w:val="22"/>
          <w:szCs w:val="22"/>
        </w:rPr>
        <w:t>&lt;</w:t>
      </w:r>
      <w:r w:rsidR="006C1228">
        <w:rPr>
          <w:rFonts w:ascii="Times New Roman" w:hAnsi="Times New Roman" w:cs="Times New Roman"/>
          <w:sz w:val="22"/>
          <w:szCs w:val="22"/>
        </w:rPr>
        <w:t xml:space="preserve"> </w:t>
      </w:r>
      <w:r w:rsidRPr="003C1478">
        <w:rPr>
          <w:rFonts w:ascii="Times New Roman" w:hAnsi="Times New Roman" w:cs="Times New Roman"/>
          <w:sz w:val="22"/>
          <w:szCs w:val="22"/>
        </w:rPr>
        <w:t>0.0001 vs. vehicle-treated cells.</w:t>
      </w:r>
      <w:r w:rsidR="004F2260" w:rsidRPr="003C1478">
        <w:rPr>
          <w:rFonts w:ascii="Times New Roman" w:hAnsi="Times New Roman" w:cs="Times New Roman"/>
          <w:sz w:val="22"/>
          <w:szCs w:val="22"/>
        </w:rPr>
        <w:t xml:space="preserve"> N.D., non-detectable.</w:t>
      </w:r>
    </w:p>
    <w:p w:rsidR="00C7601B" w:rsidRPr="003C1478" w:rsidRDefault="00C7601B">
      <w:pPr>
        <w:rPr>
          <w:rFonts w:ascii="Times New Roman" w:hAnsi="Times New Roman" w:cs="Times New Roman"/>
          <w:sz w:val="22"/>
          <w:szCs w:val="22"/>
        </w:rPr>
      </w:pPr>
    </w:p>
    <w:p w:rsidR="009277B4" w:rsidRPr="003C1478" w:rsidRDefault="00DD54C9" w:rsidP="009277B4">
      <w:pPr>
        <w:jc w:val="both"/>
        <w:rPr>
          <w:rFonts w:ascii="Times New Roman" w:hAnsi="Times New Roman" w:cs="Times New Roman"/>
          <w:sz w:val="22"/>
          <w:szCs w:val="22"/>
        </w:rPr>
      </w:pPr>
      <w:r w:rsidRPr="003C1478">
        <w:rPr>
          <w:rFonts w:ascii="Times New Roman" w:hAnsi="Times New Roman" w:cs="Times New Roman"/>
          <w:b/>
          <w:sz w:val="22"/>
          <w:szCs w:val="22"/>
        </w:rPr>
        <w:t>Figure S7</w:t>
      </w:r>
      <w:r w:rsidR="009277B4" w:rsidRPr="003C1478">
        <w:rPr>
          <w:rFonts w:ascii="Times New Roman" w:hAnsi="Times New Roman" w:cs="Times New Roman"/>
          <w:b/>
          <w:sz w:val="22"/>
          <w:szCs w:val="22"/>
        </w:rPr>
        <w:t xml:space="preserve">. ALK inhibition-induced ICD </w:t>
      </w:r>
      <w:r w:rsidR="00085D98" w:rsidRPr="003C1478">
        <w:rPr>
          <w:rFonts w:ascii="Times New Roman" w:hAnsi="Times New Roman" w:cs="Times New Roman"/>
          <w:b/>
          <w:sz w:val="22"/>
          <w:szCs w:val="22"/>
        </w:rPr>
        <w:t>triggers</w:t>
      </w:r>
      <w:r w:rsidR="009277B4" w:rsidRPr="003C1478">
        <w:rPr>
          <w:rFonts w:ascii="Times New Roman" w:hAnsi="Times New Roman" w:cs="Times New Roman"/>
          <w:b/>
          <w:sz w:val="22"/>
          <w:szCs w:val="22"/>
        </w:rPr>
        <w:t xml:space="preserve"> </w:t>
      </w:r>
      <w:r w:rsidR="00EF14A4" w:rsidRPr="003C1478">
        <w:rPr>
          <w:rFonts w:ascii="Times New Roman" w:hAnsi="Times New Roman" w:cs="Times New Roman"/>
          <w:b/>
          <w:sz w:val="22"/>
          <w:szCs w:val="22"/>
        </w:rPr>
        <w:t xml:space="preserve">bone-marrow </w:t>
      </w:r>
      <w:r w:rsidR="00085D98" w:rsidRPr="003C1478">
        <w:rPr>
          <w:rFonts w:ascii="Times New Roman" w:hAnsi="Times New Roman" w:cs="Times New Roman"/>
          <w:b/>
          <w:sz w:val="22"/>
          <w:szCs w:val="22"/>
        </w:rPr>
        <w:t xml:space="preserve">dendritic </w:t>
      </w:r>
      <w:r w:rsidR="00EF14A4" w:rsidRPr="003C1478">
        <w:rPr>
          <w:rFonts w:ascii="Times New Roman" w:hAnsi="Times New Roman" w:cs="Times New Roman"/>
          <w:b/>
          <w:sz w:val="22"/>
          <w:szCs w:val="22"/>
        </w:rPr>
        <w:t>cell maturation</w:t>
      </w:r>
    </w:p>
    <w:p w:rsidR="009277B4" w:rsidRDefault="009277B4" w:rsidP="009277B4">
      <w:pPr>
        <w:jc w:val="both"/>
        <w:rPr>
          <w:rFonts w:ascii="Times New Roman" w:hAnsi="Times New Roman" w:cs="Times New Roman"/>
          <w:sz w:val="22"/>
          <w:szCs w:val="22"/>
        </w:rPr>
      </w:pPr>
      <w:r w:rsidRPr="003C1478">
        <w:rPr>
          <w:rFonts w:ascii="Times New Roman" w:hAnsi="Times New Roman" w:cs="Times New Roman"/>
          <w:sz w:val="22"/>
          <w:szCs w:val="22"/>
        </w:rPr>
        <w:t xml:space="preserve">Scheme in (A) illustrates dendritic cell maturation assay. Murine tumor cells </w:t>
      </w:r>
      <w:r w:rsidR="006629E5" w:rsidRPr="003C1478">
        <w:rPr>
          <w:rFonts w:ascii="Times New Roman" w:hAnsi="Times New Roman" w:cs="Times New Roman"/>
          <w:sz w:val="22"/>
          <w:szCs w:val="22"/>
        </w:rPr>
        <w:t>were</w:t>
      </w:r>
      <w:r w:rsidRPr="003C1478">
        <w:rPr>
          <w:rFonts w:ascii="Times New Roman" w:hAnsi="Times New Roman" w:cs="Times New Roman"/>
          <w:sz w:val="22"/>
          <w:szCs w:val="22"/>
        </w:rPr>
        <w:t xml:space="preserve"> treated while bone marrow-derived dendritic cells (BMDCs) </w:t>
      </w:r>
      <w:r w:rsidR="006629E5" w:rsidRPr="003C1478">
        <w:rPr>
          <w:rFonts w:ascii="Times New Roman" w:hAnsi="Times New Roman" w:cs="Times New Roman"/>
          <w:sz w:val="22"/>
          <w:szCs w:val="22"/>
        </w:rPr>
        <w:t>were</w:t>
      </w:r>
      <w:r w:rsidRPr="003C1478">
        <w:rPr>
          <w:rFonts w:ascii="Times New Roman" w:hAnsi="Times New Roman" w:cs="Times New Roman"/>
          <w:sz w:val="22"/>
          <w:szCs w:val="22"/>
        </w:rPr>
        <w:t xml:space="preserve"> being isolated and differentiated </w:t>
      </w:r>
      <w:r w:rsidR="006629E5" w:rsidRPr="003C1478">
        <w:rPr>
          <w:rFonts w:ascii="Times New Roman" w:hAnsi="Times New Roman" w:cs="Times New Roman"/>
          <w:i/>
          <w:sz w:val="22"/>
          <w:szCs w:val="22"/>
        </w:rPr>
        <w:t>in</w:t>
      </w:r>
      <w:r w:rsidR="007222A5">
        <w:rPr>
          <w:rFonts w:ascii="Times New Roman" w:hAnsi="Times New Roman" w:cs="Times New Roman"/>
          <w:i/>
          <w:sz w:val="22"/>
          <w:szCs w:val="22"/>
        </w:rPr>
        <w:t xml:space="preserve"> </w:t>
      </w:r>
      <w:r w:rsidR="006629E5" w:rsidRPr="003C1478">
        <w:rPr>
          <w:rFonts w:ascii="Times New Roman" w:hAnsi="Times New Roman" w:cs="Times New Roman"/>
          <w:i/>
          <w:sz w:val="22"/>
          <w:szCs w:val="22"/>
        </w:rPr>
        <w:t>vitro</w:t>
      </w:r>
      <w:r w:rsidR="006629E5" w:rsidRPr="003C1478">
        <w:rPr>
          <w:rFonts w:ascii="Times New Roman" w:hAnsi="Times New Roman" w:cs="Times New Roman"/>
          <w:sz w:val="22"/>
          <w:szCs w:val="22"/>
        </w:rPr>
        <w:t xml:space="preserve"> </w:t>
      </w:r>
      <w:r w:rsidRPr="003C1478">
        <w:rPr>
          <w:rFonts w:ascii="Times New Roman" w:hAnsi="Times New Roman" w:cs="Times New Roman"/>
          <w:sz w:val="22"/>
          <w:szCs w:val="22"/>
        </w:rPr>
        <w:t xml:space="preserve">from syngeneic mice. After co-culture, BMDC </w:t>
      </w:r>
      <w:r w:rsidR="00085D98" w:rsidRPr="003C1478">
        <w:rPr>
          <w:rFonts w:ascii="Times New Roman" w:hAnsi="Times New Roman" w:cs="Times New Roman"/>
          <w:sz w:val="22"/>
          <w:szCs w:val="22"/>
        </w:rPr>
        <w:t>maturation</w:t>
      </w:r>
      <w:r w:rsidR="004D6162" w:rsidRPr="003C1478">
        <w:rPr>
          <w:rFonts w:ascii="Times New Roman" w:hAnsi="Times New Roman" w:cs="Times New Roman"/>
          <w:sz w:val="22"/>
          <w:szCs w:val="22"/>
        </w:rPr>
        <w:t xml:space="preserve"> </w:t>
      </w:r>
      <w:r w:rsidR="00446406" w:rsidRPr="003C1478">
        <w:rPr>
          <w:rFonts w:ascii="Times New Roman" w:hAnsi="Times New Roman" w:cs="Times New Roman"/>
          <w:sz w:val="22"/>
          <w:szCs w:val="22"/>
        </w:rPr>
        <w:t>was</w:t>
      </w:r>
      <w:r w:rsidRPr="003C1478">
        <w:rPr>
          <w:rFonts w:ascii="Times New Roman" w:hAnsi="Times New Roman" w:cs="Times New Roman"/>
          <w:sz w:val="22"/>
          <w:szCs w:val="22"/>
        </w:rPr>
        <w:t xml:space="preserve"> assessed by flow cytometry. (B</w:t>
      </w:r>
      <w:r w:rsidR="004D6162" w:rsidRPr="003C1478">
        <w:rPr>
          <w:rFonts w:ascii="Times New Roman" w:hAnsi="Times New Roman" w:cs="Times New Roman"/>
          <w:sz w:val="22"/>
          <w:szCs w:val="22"/>
        </w:rPr>
        <w:t>, C</w:t>
      </w:r>
      <w:r w:rsidRPr="003C1478">
        <w:rPr>
          <w:rFonts w:ascii="Times New Roman" w:hAnsi="Times New Roman" w:cs="Times New Roman"/>
          <w:sz w:val="22"/>
          <w:szCs w:val="22"/>
        </w:rPr>
        <w:t>) Murine NPM1-ALK</w:t>
      </w:r>
      <w:r w:rsidRPr="003C1478">
        <w:rPr>
          <w:rFonts w:ascii="Times New Roman" w:hAnsi="Times New Roman" w:cs="Times New Roman"/>
          <w:sz w:val="22"/>
          <w:szCs w:val="22"/>
          <w:vertAlign w:val="superscript"/>
        </w:rPr>
        <w:t>+</w:t>
      </w:r>
      <w:r w:rsidR="0092167F" w:rsidRPr="003C1478">
        <w:rPr>
          <w:rFonts w:ascii="Times New Roman" w:hAnsi="Times New Roman" w:cs="Times New Roman"/>
          <w:sz w:val="22"/>
          <w:szCs w:val="22"/>
        </w:rPr>
        <w:t xml:space="preserve"> R80 cells were treated with 0.2</w:t>
      </w:r>
      <w:r w:rsidRPr="003C1478">
        <w:rPr>
          <w:rFonts w:ascii="Times New Roman" w:hAnsi="Times New Roman" w:cs="Times New Roman"/>
          <w:sz w:val="22"/>
          <w:szCs w:val="22"/>
        </w:rPr>
        <w:t xml:space="preserve"> </w:t>
      </w:r>
      <w:r w:rsidR="0092167F" w:rsidRPr="003C1478">
        <w:rPr>
          <w:rFonts w:ascii="Symbol" w:hAnsi="Symbol" w:cs="Times New Roman"/>
          <w:sz w:val="22"/>
          <w:szCs w:val="22"/>
        </w:rPr>
        <w:t></w:t>
      </w:r>
      <w:r w:rsidR="0092167F" w:rsidRPr="003C1478">
        <w:rPr>
          <w:rFonts w:ascii="Times New Roman" w:hAnsi="Times New Roman" w:cs="Times New Roman"/>
          <w:sz w:val="22"/>
          <w:szCs w:val="22"/>
        </w:rPr>
        <w:t xml:space="preserve">M </w:t>
      </w:r>
      <w:r w:rsidRPr="003C1478">
        <w:rPr>
          <w:rFonts w:ascii="Times New Roman" w:hAnsi="Times New Roman" w:cs="Times New Roman"/>
          <w:sz w:val="22"/>
          <w:szCs w:val="22"/>
        </w:rPr>
        <w:t xml:space="preserve">of </w:t>
      </w:r>
      <w:r w:rsidR="00917B6F" w:rsidRPr="003C1478">
        <w:rPr>
          <w:rFonts w:ascii="Times New Roman" w:hAnsi="Times New Roman" w:cs="Times New Roman"/>
          <w:sz w:val="22"/>
          <w:szCs w:val="22"/>
        </w:rPr>
        <w:t>crizotinib (</w:t>
      </w:r>
      <w:r w:rsidRPr="003C1478">
        <w:rPr>
          <w:rFonts w:ascii="Times New Roman" w:hAnsi="Times New Roman" w:cs="Times New Roman"/>
          <w:sz w:val="22"/>
          <w:szCs w:val="22"/>
        </w:rPr>
        <w:t>CRIZ</w:t>
      </w:r>
      <w:r w:rsidR="00917B6F" w:rsidRPr="003C1478">
        <w:rPr>
          <w:rFonts w:ascii="Times New Roman" w:hAnsi="Times New Roman" w:cs="Times New Roman"/>
          <w:sz w:val="22"/>
          <w:szCs w:val="22"/>
        </w:rPr>
        <w:t>)</w:t>
      </w:r>
      <w:r w:rsidRPr="003C1478">
        <w:rPr>
          <w:rFonts w:ascii="Times New Roman" w:hAnsi="Times New Roman" w:cs="Times New Roman"/>
          <w:sz w:val="22"/>
          <w:szCs w:val="22"/>
        </w:rPr>
        <w:t xml:space="preserve"> or </w:t>
      </w:r>
      <w:r w:rsidR="00917B6F" w:rsidRPr="003C1478">
        <w:rPr>
          <w:rFonts w:ascii="Times New Roman" w:hAnsi="Times New Roman" w:cs="Times New Roman"/>
          <w:sz w:val="22"/>
          <w:szCs w:val="22"/>
        </w:rPr>
        <w:t>ceritinib (</w:t>
      </w:r>
      <w:r w:rsidRPr="003C1478">
        <w:rPr>
          <w:rFonts w:ascii="Times New Roman" w:hAnsi="Times New Roman" w:cs="Times New Roman"/>
          <w:sz w:val="22"/>
          <w:szCs w:val="22"/>
        </w:rPr>
        <w:t>CER</w:t>
      </w:r>
      <w:r w:rsidR="00917B6F" w:rsidRPr="003C1478">
        <w:rPr>
          <w:rFonts w:ascii="Times New Roman" w:hAnsi="Times New Roman" w:cs="Times New Roman"/>
          <w:sz w:val="22"/>
          <w:szCs w:val="22"/>
        </w:rPr>
        <w:t>)</w:t>
      </w:r>
      <w:r w:rsidRPr="003C1478">
        <w:rPr>
          <w:rFonts w:ascii="Times New Roman" w:hAnsi="Times New Roman" w:cs="Times New Roman"/>
          <w:sz w:val="22"/>
          <w:szCs w:val="22"/>
        </w:rPr>
        <w:t>, 2</w:t>
      </w:r>
      <w:r w:rsidR="00A10A97" w:rsidRPr="003C1478">
        <w:rPr>
          <w:rFonts w:ascii="Times New Roman" w:hAnsi="Times New Roman" w:cs="Times New Roman"/>
          <w:sz w:val="22"/>
          <w:szCs w:val="22"/>
        </w:rPr>
        <w:t xml:space="preserve"> </w:t>
      </w:r>
      <w:r w:rsidRPr="003C1478">
        <w:rPr>
          <w:rFonts w:ascii="Symbol" w:hAnsi="Symbol" w:cs="Times New Roman"/>
          <w:sz w:val="22"/>
          <w:szCs w:val="22"/>
        </w:rPr>
        <w:t></w:t>
      </w:r>
      <w:r w:rsidRPr="003C1478">
        <w:rPr>
          <w:rFonts w:ascii="Times New Roman" w:hAnsi="Times New Roman" w:cs="Times New Roman"/>
          <w:sz w:val="22"/>
          <w:szCs w:val="22"/>
        </w:rPr>
        <w:t>M of BKM120</w:t>
      </w:r>
      <w:r w:rsidR="00917B6F" w:rsidRPr="003C1478">
        <w:rPr>
          <w:rFonts w:ascii="Times New Roman" w:hAnsi="Times New Roman" w:cs="Times New Roman"/>
          <w:sz w:val="22"/>
          <w:szCs w:val="22"/>
        </w:rPr>
        <w:t xml:space="preserve"> (BKM)</w:t>
      </w:r>
      <w:r w:rsidRPr="003C1478">
        <w:rPr>
          <w:rFonts w:ascii="Times New Roman" w:hAnsi="Times New Roman" w:cs="Times New Roman"/>
          <w:sz w:val="22"/>
          <w:szCs w:val="22"/>
        </w:rPr>
        <w:t xml:space="preserve"> for 16-18 h or subjected to 1 cycle of free</w:t>
      </w:r>
      <w:r w:rsidR="00446406" w:rsidRPr="003C1478">
        <w:rPr>
          <w:rFonts w:ascii="Times New Roman" w:hAnsi="Times New Roman" w:cs="Times New Roman"/>
          <w:sz w:val="22"/>
          <w:szCs w:val="22"/>
        </w:rPr>
        <w:t>ze</w:t>
      </w:r>
      <w:r w:rsidRPr="003C1478">
        <w:rPr>
          <w:rFonts w:ascii="Times New Roman" w:hAnsi="Times New Roman" w:cs="Times New Roman"/>
          <w:sz w:val="22"/>
          <w:szCs w:val="22"/>
        </w:rPr>
        <w:t>-thaw</w:t>
      </w:r>
      <w:r w:rsidR="00446406" w:rsidRPr="003C1478">
        <w:rPr>
          <w:rFonts w:ascii="Times New Roman" w:hAnsi="Times New Roman" w:cs="Times New Roman"/>
          <w:sz w:val="22"/>
          <w:szCs w:val="22"/>
        </w:rPr>
        <w:t>ing</w:t>
      </w:r>
      <w:r w:rsidRPr="003C1478">
        <w:rPr>
          <w:rFonts w:ascii="Times New Roman" w:hAnsi="Times New Roman" w:cs="Times New Roman"/>
          <w:sz w:val="22"/>
          <w:szCs w:val="22"/>
        </w:rPr>
        <w:t xml:space="preserve"> (F/T) and co-cultured with BMDCs for 24 h. </w:t>
      </w:r>
      <w:r w:rsidR="004D6162" w:rsidRPr="003C1478">
        <w:rPr>
          <w:rFonts w:ascii="Times New Roman" w:hAnsi="Times New Roman" w:cs="Times New Roman"/>
          <w:sz w:val="22"/>
          <w:szCs w:val="22"/>
        </w:rPr>
        <w:t xml:space="preserve">BMDC </w:t>
      </w:r>
      <w:r w:rsidR="00085D98" w:rsidRPr="003C1478">
        <w:rPr>
          <w:rFonts w:ascii="Times New Roman" w:hAnsi="Times New Roman" w:cs="Times New Roman"/>
          <w:sz w:val="22"/>
          <w:szCs w:val="22"/>
        </w:rPr>
        <w:t>maturation</w:t>
      </w:r>
      <w:r w:rsidR="004D6162" w:rsidRPr="003C1478">
        <w:rPr>
          <w:rFonts w:ascii="Times New Roman" w:hAnsi="Times New Roman" w:cs="Times New Roman"/>
          <w:sz w:val="22"/>
          <w:szCs w:val="22"/>
        </w:rPr>
        <w:t xml:space="preserve"> marker (CD86 and MHC-II) were stained using specific </w:t>
      </w:r>
      <w:r w:rsidRPr="003C1478">
        <w:rPr>
          <w:rFonts w:ascii="Times New Roman" w:hAnsi="Times New Roman" w:cs="Times New Roman"/>
          <w:sz w:val="22"/>
          <w:szCs w:val="22"/>
        </w:rPr>
        <w:t xml:space="preserve">fluorescent antibodies. </w:t>
      </w:r>
      <w:r w:rsidR="004D6162" w:rsidRPr="003C1478">
        <w:rPr>
          <w:rFonts w:ascii="Times New Roman" w:hAnsi="Times New Roman" w:cs="Times New Roman"/>
          <w:sz w:val="22"/>
          <w:szCs w:val="22"/>
        </w:rPr>
        <w:t>Representative gating strategy is shown in (B)</w:t>
      </w:r>
      <w:r w:rsidR="00446406" w:rsidRPr="003C1478">
        <w:rPr>
          <w:rFonts w:ascii="Times New Roman" w:hAnsi="Times New Roman" w:cs="Times New Roman"/>
          <w:sz w:val="22"/>
          <w:szCs w:val="22"/>
        </w:rPr>
        <w:t>.</w:t>
      </w:r>
      <w:r w:rsidR="004D6162" w:rsidRPr="003C1478">
        <w:rPr>
          <w:rFonts w:ascii="Times New Roman" w:hAnsi="Times New Roman" w:cs="Times New Roman"/>
          <w:sz w:val="22"/>
          <w:szCs w:val="22"/>
        </w:rPr>
        <w:t xml:space="preserve"> CD86 or MHC-II m</w:t>
      </w:r>
      <w:r w:rsidRPr="003C1478">
        <w:rPr>
          <w:rFonts w:ascii="Times New Roman" w:hAnsi="Times New Roman" w:cs="Times New Roman"/>
          <w:sz w:val="22"/>
          <w:szCs w:val="22"/>
        </w:rPr>
        <w:t>edian of fluorescence intensity</w:t>
      </w:r>
      <w:r w:rsidR="004D6162" w:rsidRPr="003C1478">
        <w:rPr>
          <w:rFonts w:ascii="Times New Roman" w:hAnsi="Times New Roman" w:cs="Times New Roman"/>
          <w:sz w:val="22"/>
          <w:szCs w:val="22"/>
        </w:rPr>
        <w:t xml:space="preserve"> (MFI) fold increase</w:t>
      </w:r>
      <w:r w:rsidR="00446406" w:rsidRPr="003C1478">
        <w:rPr>
          <w:rFonts w:ascii="Times New Roman" w:hAnsi="Times New Roman" w:cs="Times New Roman"/>
          <w:sz w:val="22"/>
          <w:szCs w:val="22"/>
        </w:rPr>
        <w:t>s are</w:t>
      </w:r>
      <w:r w:rsidR="004D6162" w:rsidRPr="003C1478">
        <w:rPr>
          <w:rFonts w:ascii="Times New Roman" w:hAnsi="Times New Roman" w:cs="Times New Roman"/>
          <w:sz w:val="22"/>
          <w:szCs w:val="22"/>
        </w:rPr>
        <w:t xml:space="preserve"> reported in (C) as m</w:t>
      </w:r>
      <w:r w:rsidR="00446406" w:rsidRPr="003C1478">
        <w:rPr>
          <w:rFonts w:ascii="Times New Roman" w:hAnsi="Times New Roman" w:cs="Times New Roman"/>
          <w:sz w:val="22"/>
          <w:szCs w:val="22"/>
        </w:rPr>
        <w:t>ean ± SD</w:t>
      </w:r>
      <w:r w:rsidRPr="003C1478">
        <w:rPr>
          <w:rFonts w:ascii="Times New Roman" w:hAnsi="Times New Roman" w:cs="Times New Roman"/>
          <w:sz w:val="22"/>
          <w:szCs w:val="22"/>
        </w:rPr>
        <w:t xml:space="preserve"> of </w:t>
      </w:r>
      <w:r w:rsidR="00446406" w:rsidRPr="003C1478">
        <w:rPr>
          <w:rFonts w:ascii="Times New Roman" w:hAnsi="Times New Roman" w:cs="Times New Roman"/>
          <w:sz w:val="22"/>
          <w:szCs w:val="22"/>
        </w:rPr>
        <w:t xml:space="preserve">n=12 from </w:t>
      </w:r>
      <w:r w:rsidR="004D6162" w:rsidRPr="003C1478">
        <w:rPr>
          <w:rFonts w:ascii="Times New Roman" w:hAnsi="Times New Roman" w:cs="Times New Roman"/>
          <w:sz w:val="22"/>
          <w:szCs w:val="22"/>
        </w:rPr>
        <w:t>four</w:t>
      </w:r>
      <w:r w:rsidRPr="003C1478">
        <w:rPr>
          <w:rFonts w:ascii="Times New Roman" w:hAnsi="Times New Roman" w:cs="Times New Roman"/>
          <w:sz w:val="22"/>
          <w:szCs w:val="22"/>
        </w:rPr>
        <w:t xml:space="preserve"> independent experiments; </w:t>
      </w:r>
      <w:r w:rsidR="004D6162" w:rsidRPr="003C1478">
        <w:rPr>
          <w:rFonts w:ascii="Times New Roman" w:hAnsi="Times New Roman" w:cs="Times New Roman"/>
          <w:sz w:val="22"/>
          <w:szCs w:val="22"/>
        </w:rPr>
        <w:t>*p</w:t>
      </w:r>
      <w:r w:rsidR="006C1228">
        <w:rPr>
          <w:rFonts w:ascii="Times New Roman" w:hAnsi="Times New Roman" w:cs="Times New Roman"/>
          <w:sz w:val="22"/>
          <w:szCs w:val="22"/>
        </w:rPr>
        <w:t xml:space="preserve"> </w:t>
      </w:r>
      <w:r w:rsidR="004D6162" w:rsidRPr="003C1478">
        <w:rPr>
          <w:rFonts w:ascii="Times New Roman" w:hAnsi="Times New Roman" w:cs="Times New Roman"/>
          <w:sz w:val="22"/>
          <w:szCs w:val="22"/>
        </w:rPr>
        <w:t>&lt; 0.05, **p &lt; 0.01</w:t>
      </w:r>
      <w:r w:rsidR="00446406" w:rsidRPr="003C1478">
        <w:rPr>
          <w:rFonts w:ascii="Times New Roman" w:hAnsi="Times New Roman" w:cs="Times New Roman"/>
          <w:sz w:val="22"/>
          <w:szCs w:val="22"/>
        </w:rPr>
        <w:t>, ***p &lt; 0.001, ****p</w:t>
      </w:r>
      <w:r w:rsidR="006C1228">
        <w:rPr>
          <w:rFonts w:ascii="Times New Roman" w:hAnsi="Times New Roman" w:cs="Times New Roman"/>
          <w:sz w:val="22"/>
          <w:szCs w:val="22"/>
        </w:rPr>
        <w:t xml:space="preserve"> </w:t>
      </w:r>
      <w:r w:rsidR="00446406" w:rsidRPr="003C1478">
        <w:rPr>
          <w:rFonts w:ascii="Times New Roman" w:hAnsi="Times New Roman" w:cs="Times New Roman"/>
          <w:sz w:val="22"/>
          <w:szCs w:val="22"/>
        </w:rPr>
        <w:t>&lt;</w:t>
      </w:r>
      <w:r w:rsidR="006C1228">
        <w:rPr>
          <w:rFonts w:ascii="Times New Roman" w:hAnsi="Times New Roman" w:cs="Times New Roman"/>
          <w:sz w:val="22"/>
          <w:szCs w:val="22"/>
        </w:rPr>
        <w:t xml:space="preserve"> </w:t>
      </w:r>
      <w:r w:rsidR="00446406" w:rsidRPr="003C1478">
        <w:rPr>
          <w:rFonts w:ascii="Times New Roman" w:hAnsi="Times New Roman" w:cs="Times New Roman"/>
          <w:sz w:val="22"/>
          <w:szCs w:val="22"/>
        </w:rPr>
        <w:t xml:space="preserve">0.0001 </w:t>
      </w:r>
      <w:r w:rsidR="004D6162" w:rsidRPr="003C1478">
        <w:rPr>
          <w:rFonts w:ascii="Times New Roman" w:hAnsi="Times New Roman" w:cs="Times New Roman"/>
          <w:sz w:val="22"/>
          <w:szCs w:val="22"/>
        </w:rPr>
        <w:t>(Student’s t-test)</w:t>
      </w:r>
      <w:r w:rsidRPr="003C1478">
        <w:rPr>
          <w:rFonts w:ascii="Times New Roman" w:hAnsi="Times New Roman" w:cs="Times New Roman"/>
          <w:sz w:val="22"/>
          <w:szCs w:val="22"/>
        </w:rPr>
        <w:t xml:space="preserve">. </w:t>
      </w:r>
    </w:p>
    <w:p w:rsidR="00C7601B" w:rsidRPr="003C1478" w:rsidRDefault="00C7601B" w:rsidP="009277B4">
      <w:pPr>
        <w:jc w:val="both"/>
        <w:rPr>
          <w:rFonts w:ascii="Times New Roman" w:hAnsi="Times New Roman" w:cs="Times New Roman"/>
          <w:sz w:val="22"/>
          <w:szCs w:val="22"/>
        </w:rPr>
      </w:pPr>
      <w:bookmarkStart w:id="1" w:name="_GoBack"/>
      <w:bookmarkEnd w:id="1"/>
    </w:p>
    <w:p w:rsidR="0053365D" w:rsidRPr="003C1478" w:rsidRDefault="00DD54C9" w:rsidP="0053365D">
      <w:pPr>
        <w:jc w:val="both"/>
        <w:rPr>
          <w:rFonts w:ascii="Times New Roman" w:hAnsi="Times New Roman" w:cs="Times New Roman"/>
          <w:sz w:val="22"/>
          <w:szCs w:val="22"/>
        </w:rPr>
      </w:pPr>
      <w:r w:rsidRPr="003C1478">
        <w:rPr>
          <w:rFonts w:ascii="Times New Roman" w:hAnsi="Times New Roman" w:cs="Times New Roman"/>
          <w:b/>
          <w:sz w:val="22"/>
          <w:szCs w:val="22"/>
        </w:rPr>
        <w:t>Figure S8</w:t>
      </w:r>
      <w:r w:rsidR="0053365D" w:rsidRPr="003C1478">
        <w:rPr>
          <w:rFonts w:ascii="Times New Roman" w:hAnsi="Times New Roman" w:cs="Times New Roman"/>
          <w:b/>
          <w:sz w:val="22"/>
          <w:szCs w:val="22"/>
        </w:rPr>
        <w:t>. Vaccination assay</w:t>
      </w:r>
    </w:p>
    <w:p w:rsidR="0053365D" w:rsidRPr="003C1478" w:rsidRDefault="0053365D" w:rsidP="0053365D">
      <w:pPr>
        <w:jc w:val="both"/>
        <w:rPr>
          <w:rFonts w:ascii="Times New Roman" w:hAnsi="Times New Roman" w:cs="Times New Roman"/>
          <w:sz w:val="22"/>
          <w:szCs w:val="22"/>
        </w:rPr>
      </w:pPr>
      <w:r w:rsidRPr="003C1478">
        <w:rPr>
          <w:rFonts w:ascii="Times New Roman" w:hAnsi="Times New Roman" w:cs="Times New Roman"/>
          <w:sz w:val="22"/>
          <w:szCs w:val="22"/>
        </w:rPr>
        <w:t xml:space="preserve">Scheme of vaccination experiment (A). Murine tumor cells were treated </w:t>
      </w:r>
      <w:r w:rsidRPr="003C1478">
        <w:rPr>
          <w:rFonts w:ascii="Times New Roman" w:hAnsi="Times New Roman" w:cs="Times New Roman"/>
          <w:i/>
          <w:sz w:val="22"/>
          <w:szCs w:val="22"/>
        </w:rPr>
        <w:t>in vitro</w:t>
      </w:r>
      <w:r w:rsidRPr="003C1478">
        <w:rPr>
          <w:rFonts w:ascii="Times New Roman" w:hAnsi="Times New Roman" w:cs="Times New Roman"/>
          <w:sz w:val="22"/>
          <w:szCs w:val="22"/>
        </w:rPr>
        <w:t xml:space="preserve"> to reach 50-70% of mortality before being injected into the left flank of syngeneic mice. One week later, mice were challenged with live cells into the opposite flank and tumor appearance and growth are monitored.</w:t>
      </w:r>
    </w:p>
    <w:p w:rsidR="009277B4" w:rsidRPr="003C1478" w:rsidRDefault="0053365D" w:rsidP="00A21880">
      <w:pPr>
        <w:jc w:val="both"/>
        <w:rPr>
          <w:rFonts w:ascii="Times New Roman" w:hAnsi="Times New Roman" w:cs="Times New Roman"/>
          <w:sz w:val="22"/>
          <w:szCs w:val="22"/>
        </w:rPr>
      </w:pPr>
      <w:r w:rsidRPr="003C1478">
        <w:rPr>
          <w:rFonts w:ascii="Times New Roman" w:hAnsi="Times New Roman" w:cs="Times New Roman"/>
          <w:sz w:val="22"/>
          <w:szCs w:val="22"/>
        </w:rPr>
        <w:lastRenderedPageBreak/>
        <w:t>One million of NPM1-ALK</w:t>
      </w:r>
      <w:r w:rsidRPr="003C1478">
        <w:rPr>
          <w:rFonts w:ascii="Times New Roman" w:hAnsi="Times New Roman" w:cs="Times New Roman"/>
          <w:sz w:val="22"/>
          <w:szCs w:val="22"/>
          <w:vertAlign w:val="superscript"/>
        </w:rPr>
        <w:t>+</w:t>
      </w:r>
      <w:r w:rsidRPr="003C1478">
        <w:rPr>
          <w:rFonts w:ascii="Times New Roman" w:hAnsi="Times New Roman" w:cs="Times New Roman"/>
          <w:sz w:val="22"/>
          <w:szCs w:val="22"/>
        </w:rPr>
        <w:t xml:space="preserve"> R80 cells, previously treated for 16-18 h with 1 </w:t>
      </w:r>
      <w:r w:rsidRPr="003C1478">
        <w:rPr>
          <w:rFonts w:ascii="Symbol" w:hAnsi="Symbol" w:cs="Times New Roman"/>
          <w:sz w:val="22"/>
          <w:szCs w:val="22"/>
        </w:rPr>
        <w:t></w:t>
      </w:r>
      <w:r w:rsidRPr="003C1478">
        <w:rPr>
          <w:rFonts w:ascii="Times New Roman" w:hAnsi="Times New Roman" w:cs="Times New Roman"/>
          <w:sz w:val="22"/>
          <w:szCs w:val="22"/>
        </w:rPr>
        <w:t xml:space="preserve">M of </w:t>
      </w:r>
      <w:r w:rsidR="00917B6F" w:rsidRPr="003C1478">
        <w:rPr>
          <w:rFonts w:ascii="Times New Roman" w:hAnsi="Times New Roman" w:cs="Times New Roman"/>
          <w:sz w:val="22"/>
          <w:szCs w:val="22"/>
        </w:rPr>
        <w:t>ceritinib (</w:t>
      </w:r>
      <w:r w:rsidRPr="003C1478">
        <w:rPr>
          <w:rFonts w:ascii="Times New Roman" w:hAnsi="Times New Roman" w:cs="Times New Roman"/>
          <w:sz w:val="22"/>
          <w:szCs w:val="22"/>
        </w:rPr>
        <w:t>CER</w:t>
      </w:r>
      <w:r w:rsidR="00917B6F" w:rsidRPr="003C1478">
        <w:rPr>
          <w:rFonts w:ascii="Times New Roman" w:hAnsi="Times New Roman" w:cs="Times New Roman"/>
          <w:sz w:val="22"/>
          <w:szCs w:val="22"/>
        </w:rPr>
        <w:t>)</w:t>
      </w:r>
      <w:r w:rsidRPr="003C1478">
        <w:rPr>
          <w:rFonts w:ascii="Times New Roman" w:hAnsi="Times New Roman" w:cs="Times New Roman"/>
          <w:sz w:val="22"/>
          <w:szCs w:val="22"/>
        </w:rPr>
        <w:t xml:space="preserve"> or 2 </w:t>
      </w:r>
      <w:r w:rsidRPr="003C1478">
        <w:rPr>
          <w:rFonts w:ascii="Symbol" w:hAnsi="Symbol" w:cs="Times New Roman"/>
          <w:sz w:val="22"/>
          <w:szCs w:val="22"/>
        </w:rPr>
        <w:t></w:t>
      </w:r>
      <w:r w:rsidRPr="003C1478">
        <w:rPr>
          <w:rFonts w:ascii="Times New Roman" w:hAnsi="Times New Roman" w:cs="Times New Roman"/>
          <w:sz w:val="22"/>
          <w:szCs w:val="22"/>
        </w:rPr>
        <w:t xml:space="preserve">M of </w:t>
      </w:r>
      <w:r w:rsidR="00917B6F" w:rsidRPr="003C1478">
        <w:rPr>
          <w:rFonts w:ascii="Times New Roman" w:hAnsi="Times New Roman" w:cs="Times New Roman"/>
          <w:sz w:val="22"/>
          <w:szCs w:val="22"/>
        </w:rPr>
        <w:t>mitoxantrone (</w:t>
      </w:r>
      <w:r w:rsidRPr="003C1478">
        <w:rPr>
          <w:rFonts w:ascii="Times New Roman" w:hAnsi="Times New Roman" w:cs="Times New Roman"/>
          <w:sz w:val="22"/>
          <w:szCs w:val="22"/>
        </w:rPr>
        <w:t>MTX</w:t>
      </w:r>
      <w:r w:rsidR="00917B6F" w:rsidRPr="003C1478">
        <w:rPr>
          <w:rFonts w:ascii="Times New Roman" w:hAnsi="Times New Roman" w:cs="Times New Roman"/>
          <w:sz w:val="22"/>
          <w:szCs w:val="22"/>
        </w:rPr>
        <w:t>)</w:t>
      </w:r>
      <w:r w:rsidRPr="003C1478">
        <w:rPr>
          <w:rFonts w:ascii="Times New Roman" w:hAnsi="Times New Roman" w:cs="Times New Roman"/>
          <w:sz w:val="22"/>
          <w:szCs w:val="22"/>
        </w:rPr>
        <w:t>, were injected into the left flank of C57BL/6 mice. After one week, mice were challenged with 1x10</w:t>
      </w:r>
      <w:r w:rsidRPr="003C1478">
        <w:rPr>
          <w:rFonts w:ascii="Times New Roman" w:hAnsi="Times New Roman" w:cs="Times New Roman"/>
          <w:sz w:val="22"/>
          <w:szCs w:val="22"/>
          <w:vertAlign w:val="superscript"/>
        </w:rPr>
        <w:t>6</w:t>
      </w:r>
      <w:r w:rsidRPr="003C1478">
        <w:rPr>
          <w:rFonts w:ascii="Times New Roman" w:hAnsi="Times New Roman" w:cs="Times New Roman"/>
          <w:sz w:val="22"/>
          <w:szCs w:val="22"/>
        </w:rPr>
        <w:t xml:space="preserve"> of live R80 cells into the opposite flank. Tumor surface in function of time is represented as mean ± SEM of mice belonging to the same group or for each mouse (E). Survival is also represented in (E). </w:t>
      </w:r>
      <w:r w:rsidR="00917B6F" w:rsidRPr="003C1478">
        <w:rPr>
          <w:rFonts w:ascii="Times New Roman" w:hAnsi="Times New Roman" w:cs="Times New Roman"/>
          <w:sz w:val="22"/>
          <w:szCs w:val="22"/>
        </w:rPr>
        <w:t>Vehicle</w:t>
      </w:r>
      <w:r w:rsidRPr="003C1478">
        <w:rPr>
          <w:rFonts w:ascii="Times New Roman" w:hAnsi="Times New Roman" w:cs="Times New Roman"/>
          <w:sz w:val="22"/>
          <w:szCs w:val="22"/>
        </w:rPr>
        <w:t xml:space="preserve"> n=10, </w:t>
      </w:r>
      <w:r w:rsidR="00917B6F" w:rsidRPr="003C1478">
        <w:rPr>
          <w:rFonts w:ascii="Times New Roman" w:hAnsi="Times New Roman" w:cs="Times New Roman"/>
          <w:sz w:val="22"/>
          <w:szCs w:val="22"/>
        </w:rPr>
        <w:t>CER</w:t>
      </w:r>
      <w:r w:rsidRPr="003C1478">
        <w:rPr>
          <w:rFonts w:ascii="Times New Roman" w:hAnsi="Times New Roman" w:cs="Times New Roman"/>
          <w:sz w:val="22"/>
          <w:szCs w:val="22"/>
        </w:rPr>
        <w:t xml:space="preserve"> n=8 and </w:t>
      </w:r>
      <w:r w:rsidR="00917B6F" w:rsidRPr="003C1478">
        <w:rPr>
          <w:rFonts w:ascii="Times New Roman" w:hAnsi="Times New Roman" w:cs="Times New Roman"/>
          <w:sz w:val="22"/>
          <w:szCs w:val="22"/>
        </w:rPr>
        <w:t>MTX</w:t>
      </w:r>
      <w:r w:rsidRPr="003C1478">
        <w:rPr>
          <w:rFonts w:ascii="Times New Roman" w:hAnsi="Times New Roman" w:cs="Times New Roman"/>
          <w:sz w:val="22"/>
          <w:szCs w:val="22"/>
        </w:rPr>
        <w:t>=10. Comparison between tumor growth curves was assessed using a type II ANOVA test, while the stati</w:t>
      </w:r>
      <w:r w:rsidR="00446406" w:rsidRPr="003C1478">
        <w:rPr>
          <w:rFonts w:ascii="Times New Roman" w:hAnsi="Times New Roman" w:cs="Times New Roman"/>
          <w:sz w:val="22"/>
          <w:szCs w:val="22"/>
        </w:rPr>
        <w:t xml:space="preserve">stical significance of survivals </w:t>
      </w:r>
      <w:r w:rsidRPr="003C1478">
        <w:rPr>
          <w:rFonts w:ascii="Times New Roman" w:hAnsi="Times New Roman" w:cs="Times New Roman"/>
          <w:sz w:val="22"/>
          <w:szCs w:val="22"/>
        </w:rPr>
        <w:t>was calculated using the Long-rank test. *p &lt; 0.05, **p &lt; 0.01</w:t>
      </w:r>
      <w:r w:rsidR="004F2260" w:rsidRPr="003C1478">
        <w:rPr>
          <w:rFonts w:ascii="Times New Roman" w:hAnsi="Times New Roman" w:cs="Times New Roman"/>
          <w:sz w:val="22"/>
          <w:szCs w:val="22"/>
        </w:rPr>
        <w:t>, ***p &lt; 0.001</w:t>
      </w:r>
      <w:r w:rsidRPr="003C1478">
        <w:rPr>
          <w:rFonts w:ascii="Times New Roman" w:hAnsi="Times New Roman" w:cs="Times New Roman"/>
          <w:sz w:val="22"/>
          <w:szCs w:val="22"/>
        </w:rPr>
        <w:t>.</w:t>
      </w:r>
    </w:p>
    <w:sectPr w:rsidR="009277B4" w:rsidRPr="003C1478" w:rsidSect="00EB0492">
      <w:footerReference w:type="default" r:id="rId6"/>
      <w:pgSz w:w="11906" w:h="16838" w:code="9"/>
      <w:pgMar w:top="1411" w:right="1138" w:bottom="1138" w:left="1138" w:header="0" w:footer="706" w:gutter="0"/>
      <w:lnNumType w:countBy="1" w:restart="continuous"/>
      <w:pgNumType w:start="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39C" w:rsidRDefault="0030639C">
      <w:pPr>
        <w:spacing w:after="0" w:line="240" w:lineRule="auto"/>
      </w:pPr>
      <w:r>
        <w:separator/>
      </w:r>
    </w:p>
  </w:endnote>
  <w:endnote w:type="continuationSeparator" w:id="0">
    <w:p w:rsidR="0030639C" w:rsidRDefault="00306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358484"/>
      <w:docPartObj>
        <w:docPartGallery w:val="Page Numbers (Bottom of Page)"/>
        <w:docPartUnique/>
      </w:docPartObj>
    </w:sdtPr>
    <w:sdtEndPr>
      <w:rPr>
        <w:noProof/>
      </w:rPr>
    </w:sdtEndPr>
    <w:sdtContent>
      <w:p w:rsidR="006308C8" w:rsidRDefault="008D6D9B">
        <w:pPr>
          <w:pStyle w:val="Footer"/>
          <w:jc w:val="right"/>
        </w:pPr>
        <w:r>
          <w:fldChar w:fldCharType="begin"/>
        </w:r>
        <w:r>
          <w:instrText xml:space="preserve"> PAGE   \* MERGEFORMAT </w:instrText>
        </w:r>
        <w:r>
          <w:fldChar w:fldCharType="separate"/>
        </w:r>
        <w:r w:rsidR="00C7601B">
          <w:rPr>
            <w:noProof/>
          </w:rPr>
          <w:t>3</w:t>
        </w:r>
        <w:r>
          <w:rPr>
            <w:noProof/>
          </w:rPr>
          <w:fldChar w:fldCharType="end"/>
        </w:r>
      </w:p>
    </w:sdtContent>
  </w:sdt>
  <w:p w:rsidR="006308C8" w:rsidRDefault="0030639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39C" w:rsidRDefault="0030639C">
      <w:pPr>
        <w:spacing w:after="0" w:line="240" w:lineRule="auto"/>
      </w:pPr>
      <w:r>
        <w:separator/>
      </w:r>
    </w:p>
  </w:footnote>
  <w:footnote w:type="continuationSeparator" w:id="0">
    <w:p w:rsidR="0030639C" w:rsidRDefault="003063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190"/>
    <w:rsid w:val="00085D98"/>
    <w:rsid w:val="001160B8"/>
    <w:rsid w:val="0018739B"/>
    <w:rsid w:val="001E3096"/>
    <w:rsid w:val="00295BBA"/>
    <w:rsid w:val="002B3B80"/>
    <w:rsid w:val="002C76C9"/>
    <w:rsid w:val="0030639C"/>
    <w:rsid w:val="003B1F4B"/>
    <w:rsid w:val="003C1478"/>
    <w:rsid w:val="003F4443"/>
    <w:rsid w:val="00446406"/>
    <w:rsid w:val="00475190"/>
    <w:rsid w:val="004D39F5"/>
    <w:rsid w:val="004D6162"/>
    <w:rsid w:val="004F2260"/>
    <w:rsid w:val="0053365D"/>
    <w:rsid w:val="00540AB9"/>
    <w:rsid w:val="006629E5"/>
    <w:rsid w:val="006A6B01"/>
    <w:rsid w:val="006C1228"/>
    <w:rsid w:val="007222A5"/>
    <w:rsid w:val="00775B83"/>
    <w:rsid w:val="008D6D9B"/>
    <w:rsid w:val="00917B6F"/>
    <w:rsid w:val="0092167F"/>
    <w:rsid w:val="009277B4"/>
    <w:rsid w:val="009E4591"/>
    <w:rsid w:val="00A10A97"/>
    <w:rsid w:val="00A21880"/>
    <w:rsid w:val="00C30629"/>
    <w:rsid w:val="00C7601B"/>
    <w:rsid w:val="00CF3871"/>
    <w:rsid w:val="00D00474"/>
    <w:rsid w:val="00DA7782"/>
    <w:rsid w:val="00DC31FB"/>
    <w:rsid w:val="00DD54C9"/>
    <w:rsid w:val="00DE4E20"/>
    <w:rsid w:val="00E21286"/>
    <w:rsid w:val="00E6280C"/>
    <w:rsid w:val="00EF14A4"/>
    <w:rsid w:val="00F475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10180"/>
  <w15:chartTrackingRefBased/>
  <w15:docId w15:val="{AB49ECE8-8D7B-4286-9947-6D43CA86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190"/>
    <w:pPr>
      <w:spacing w:line="480" w:lineRule="auto"/>
    </w:pPr>
    <w:rPr>
      <w:color w:val="00000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475190"/>
  </w:style>
  <w:style w:type="paragraph" w:styleId="Footer">
    <w:name w:val="footer"/>
    <w:basedOn w:val="Normal"/>
    <w:link w:val="FooterChar"/>
    <w:uiPriority w:val="99"/>
    <w:unhideWhenUsed/>
    <w:rsid w:val="00475190"/>
    <w:pPr>
      <w:tabs>
        <w:tab w:val="center" w:pos="4819"/>
        <w:tab w:val="right" w:pos="9638"/>
      </w:tabs>
    </w:pPr>
    <w:rPr>
      <w:color w:val="auto"/>
      <w:sz w:val="22"/>
      <w:szCs w:val="22"/>
      <w:lang w:val="it-IT"/>
    </w:rPr>
  </w:style>
  <w:style w:type="character" w:customStyle="1" w:styleId="FooterChar1">
    <w:name w:val="Footer Char1"/>
    <w:basedOn w:val="DefaultParagraphFont"/>
    <w:uiPriority w:val="99"/>
    <w:semiHidden/>
    <w:rsid w:val="00475190"/>
    <w:rPr>
      <w:color w:val="00000A"/>
      <w:sz w:val="24"/>
      <w:szCs w:val="24"/>
      <w:lang w:val="en-US"/>
    </w:rPr>
  </w:style>
  <w:style w:type="character" w:styleId="LineNumber">
    <w:name w:val="line number"/>
    <w:basedOn w:val="DefaultParagraphFont"/>
    <w:uiPriority w:val="99"/>
    <w:semiHidden/>
    <w:unhideWhenUsed/>
    <w:rsid w:val="00475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2965">
      <w:bodyDiv w:val="1"/>
      <w:marLeft w:val="0"/>
      <w:marRight w:val="0"/>
      <w:marTop w:val="0"/>
      <w:marBottom w:val="0"/>
      <w:divBdr>
        <w:top w:val="none" w:sz="0" w:space="0" w:color="auto"/>
        <w:left w:val="none" w:sz="0" w:space="0" w:color="auto"/>
        <w:bottom w:val="none" w:sz="0" w:space="0" w:color="auto"/>
        <w:right w:val="none" w:sz="0" w:space="0" w:color="auto"/>
      </w:divBdr>
    </w:div>
    <w:div w:id="357196810">
      <w:bodyDiv w:val="1"/>
      <w:marLeft w:val="0"/>
      <w:marRight w:val="0"/>
      <w:marTop w:val="0"/>
      <w:marBottom w:val="0"/>
      <w:divBdr>
        <w:top w:val="none" w:sz="0" w:space="0" w:color="auto"/>
        <w:left w:val="none" w:sz="0" w:space="0" w:color="auto"/>
        <w:bottom w:val="none" w:sz="0" w:space="0" w:color="auto"/>
        <w:right w:val="none" w:sz="0" w:space="0" w:color="auto"/>
      </w:divBdr>
    </w:div>
    <w:div w:id="688918628">
      <w:bodyDiv w:val="1"/>
      <w:marLeft w:val="0"/>
      <w:marRight w:val="0"/>
      <w:marTop w:val="0"/>
      <w:marBottom w:val="0"/>
      <w:divBdr>
        <w:top w:val="none" w:sz="0" w:space="0" w:color="auto"/>
        <w:left w:val="none" w:sz="0" w:space="0" w:color="auto"/>
        <w:bottom w:val="none" w:sz="0" w:space="0" w:color="auto"/>
        <w:right w:val="none" w:sz="0" w:space="0" w:color="auto"/>
      </w:divBdr>
    </w:div>
    <w:div w:id="78053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dc:description/>
  <cp:lastModifiedBy>Adriana</cp:lastModifiedBy>
  <cp:revision>21</cp:revision>
  <dcterms:created xsi:type="dcterms:W3CDTF">2021-06-03T10:54:00Z</dcterms:created>
  <dcterms:modified xsi:type="dcterms:W3CDTF">2021-06-17T09:47:00Z</dcterms:modified>
</cp:coreProperties>
</file>