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7947B" w14:textId="43AA5D9F" w:rsidR="00FB30E5" w:rsidRPr="008A2C14" w:rsidRDefault="00415ECD" w:rsidP="00FB30E5">
      <w:pPr>
        <w:autoSpaceDE w:val="0"/>
        <w:autoSpaceDN w:val="0"/>
        <w:adjustRightInd w:val="0"/>
        <w:spacing w:before="120" w:after="0" w:line="480" w:lineRule="auto"/>
        <w:jc w:val="both"/>
        <w:rPr>
          <w:rFonts w:ascii="Arial" w:hAnsi="Arial" w:cs="Arial"/>
          <w:b/>
          <w:sz w:val="24"/>
          <w:szCs w:val="24"/>
        </w:rPr>
      </w:pPr>
      <w:r>
        <w:rPr>
          <w:rFonts w:ascii="Arial" w:hAnsi="Arial" w:cs="Arial"/>
          <w:b/>
          <w:sz w:val="24"/>
          <w:szCs w:val="24"/>
        </w:rPr>
        <w:t xml:space="preserve">Supplementary </w:t>
      </w:r>
      <w:r w:rsidR="00FB30E5" w:rsidRPr="008A2C14">
        <w:rPr>
          <w:rFonts w:ascii="Arial" w:hAnsi="Arial" w:cs="Arial"/>
          <w:b/>
          <w:sz w:val="24"/>
          <w:szCs w:val="24"/>
        </w:rPr>
        <w:t>Figure legends</w:t>
      </w:r>
    </w:p>
    <w:p w14:paraId="66EF8639" w14:textId="7BB73E86" w:rsidR="00A144FA" w:rsidRDefault="00415ECD" w:rsidP="00223244">
      <w:pPr>
        <w:autoSpaceDE w:val="0"/>
        <w:autoSpaceDN w:val="0"/>
        <w:adjustRightInd w:val="0"/>
        <w:spacing w:before="120" w:after="0" w:line="480" w:lineRule="auto"/>
        <w:jc w:val="both"/>
        <w:rPr>
          <w:rFonts w:ascii="Arial" w:hAnsi="Arial" w:cs="Arial"/>
          <w:color w:val="000000" w:themeColor="text1"/>
          <w:sz w:val="24"/>
          <w:szCs w:val="24"/>
        </w:rPr>
      </w:pPr>
      <w:r w:rsidRPr="00415ECD">
        <w:rPr>
          <w:rFonts w:ascii="Arial" w:hAnsi="Arial" w:cs="Arial"/>
          <w:b/>
          <w:bCs/>
          <w:color w:val="000000" w:themeColor="text1"/>
          <w:sz w:val="24"/>
          <w:szCs w:val="24"/>
        </w:rPr>
        <w:t>Figure S1: Targeted agent dose response curves in NSCLC cell lines</w:t>
      </w:r>
      <w:r w:rsidRPr="00415ECD">
        <w:rPr>
          <w:rFonts w:ascii="Arial" w:hAnsi="Arial" w:cs="Arial"/>
          <w:color w:val="000000" w:themeColor="text1"/>
          <w:sz w:val="24"/>
          <w:szCs w:val="24"/>
        </w:rPr>
        <w:t>. NSCLC cell lines (H522, H3255, PC9, A547 and H1975) were exposed with the indicated concentration of drug for 72 hours. Cell viability was assessed using Cell Titer Glo. Graph represents three independent experiments ± standard deviation</w:t>
      </w:r>
      <w:r>
        <w:rPr>
          <w:rFonts w:ascii="Arial" w:hAnsi="Arial" w:cs="Arial"/>
          <w:color w:val="000000" w:themeColor="text1"/>
          <w:sz w:val="24"/>
          <w:szCs w:val="24"/>
        </w:rPr>
        <w:t>.</w:t>
      </w:r>
    </w:p>
    <w:p w14:paraId="7585314C" w14:textId="77777777" w:rsidR="00415ECD" w:rsidRDefault="00415ECD" w:rsidP="00223244">
      <w:pPr>
        <w:autoSpaceDE w:val="0"/>
        <w:autoSpaceDN w:val="0"/>
        <w:adjustRightInd w:val="0"/>
        <w:spacing w:before="120" w:after="0" w:line="480" w:lineRule="auto"/>
        <w:jc w:val="both"/>
        <w:rPr>
          <w:rFonts w:ascii="Arial" w:hAnsi="Arial" w:cs="Arial"/>
          <w:color w:val="000000" w:themeColor="text1"/>
          <w:sz w:val="24"/>
          <w:szCs w:val="24"/>
        </w:rPr>
      </w:pPr>
    </w:p>
    <w:p w14:paraId="510AB00E" w14:textId="77777777" w:rsidR="00B145C4" w:rsidRPr="00B145C4" w:rsidRDefault="00B145C4" w:rsidP="00B145C4">
      <w:pPr>
        <w:autoSpaceDE w:val="0"/>
        <w:autoSpaceDN w:val="0"/>
        <w:adjustRightInd w:val="0"/>
        <w:spacing w:before="120" w:after="0" w:line="480" w:lineRule="auto"/>
        <w:jc w:val="both"/>
        <w:rPr>
          <w:rFonts w:ascii="Arial" w:hAnsi="Arial" w:cs="Arial"/>
          <w:sz w:val="24"/>
          <w:szCs w:val="24"/>
        </w:rPr>
      </w:pPr>
      <w:r w:rsidRPr="00B145C4">
        <w:rPr>
          <w:rFonts w:ascii="Arial" w:hAnsi="Arial" w:cs="Arial"/>
          <w:b/>
          <w:bCs/>
          <w:sz w:val="24"/>
          <w:szCs w:val="24"/>
        </w:rPr>
        <w:t xml:space="preserve">Figure S2: Cell death does not occur at drug concentrations used to measure mitochondrial priming in vitro. </w:t>
      </w:r>
      <w:r w:rsidRPr="00B145C4">
        <w:rPr>
          <w:rFonts w:ascii="Arial" w:hAnsi="Arial" w:cs="Arial"/>
          <w:sz w:val="24"/>
          <w:szCs w:val="24"/>
        </w:rPr>
        <w:t>Cells were exposed to the indicated concentration of targeted agent for 24 hours and Annexin V positive cells % were measured to determine apoptotic cells %. Bar graph showing apoptotic cells % for each treatment. 1 µM staurosporine (STS) is used as a positive control. None of the drug treatments (excluding the positive control) were statistically different to DMSO-control wells based on a one-way ANOVA multiple comparison test. Treatments were normalized to mean of DMSO-control wells. Graph represents three independent experiments ± standard deviation.</w:t>
      </w:r>
    </w:p>
    <w:p w14:paraId="423FBE13" w14:textId="77777777" w:rsidR="00CD50F9" w:rsidRPr="00D04DEC" w:rsidRDefault="00CD50F9" w:rsidP="00D04DEC">
      <w:pPr>
        <w:autoSpaceDE w:val="0"/>
        <w:autoSpaceDN w:val="0"/>
        <w:adjustRightInd w:val="0"/>
        <w:spacing w:before="120" w:after="0" w:line="480" w:lineRule="auto"/>
        <w:jc w:val="both"/>
        <w:rPr>
          <w:rFonts w:ascii="Arial" w:hAnsi="Arial" w:cs="Arial"/>
          <w:sz w:val="24"/>
          <w:szCs w:val="24"/>
        </w:rPr>
      </w:pPr>
    </w:p>
    <w:p w14:paraId="6BA249BE" w14:textId="2E1191D0" w:rsidR="00D04DEC" w:rsidRDefault="00D04DEC" w:rsidP="00D04DEC">
      <w:pPr>
        <w:autoSpaceDE w:val="0"/>
        <w:autoSpaceDN w:val="0"/>
        <w:adjustRightInd w:val="0"/>
        <w:spacing w:before="120" w:after="0" w:line="480" w:lineRule="auto"/>
        <w:jc w:val="both"/>
        <w:rPr>
          <w:rFonts w:ascii="Arial" w:hAnsi="Arial" w:cs="Arial"/>
          <w:sz w:val="24"/>
          <w:szCs w:val="24"/>
        </w:rPr>
      </w:pPr>
      <w:r w:rsidRPr="00D04DEC">
        <w:rPr>
          <w:rFonts w:ascii="Arial" w:hAnsi="Arial" w:cs="Arial"/>
          <w:b/>
          <w:bCs/>
          <w:sz w:val="24"/>
          <w:szCs w:val="24"/>
        </w:rPr>
        <w:t xml:space="preserve">Figure S3: Representative dynamic BH3 profiling microscopy images of NSCLC cell lines. </w:t>
      </w:r>
      <w:r w:rsidRPr="00D04DEC">
        <w:rPr>
          <w:rFonts w:ascii="Arial" w:hAnsi="Arial" w:cs="Arial"/>
          <w:sz w:val="24"/>
          <w:szCs w:val="24"/>
        </w:rPr>
        <w:t xml:space="preserve">A549 and PC9 NSCLC cell lines were treated as previously described in </w:t>
      </w:r>
      <w:r w:rsidRPr="00D04DEC">
        <w:rPr>
          <w:rFonts w:ascii="Arial" w:hAnsi="Arial" w:cs="Arial"/>
          <w:b/>
          <w:bCs/>
          <w:sz w:val="24"/>
          <w:szCs w:val="24"/>
        </w:rPr>
        <w:t>Fig. 1</w:t>
      </w:r>
      <w:r w:rsidRPr="00D04DEC">
        <w:rPr>
          <w:rFonts w:ascii="Arial" w:hAnsi="Arial" w:cs="Arial"/>
          <w:sz w:val="24"/>
          <w:szCs w:val="24"/>
        </w:rPr>
        <w:t xml:space="preserve">. Immunofluorescence microscopy images of A549 and PC9 cell lines were taken at 10-fold magnification. Hoechst 33342 was used to stain DNA (blue) and therefore identify the number of cells present in each well (parent population). From the parent population the cytochrome c positive cell % was determined using cytochrome c-647 antibody (red). </w:t>
      </w:r>
      <w:proofErr w:type="spellStart"/>
      <w:r w:rsidRPr="00D04DEC">
        <w:rPr>
          <w:rFonts w:ascii="Arial" w:hAnsi="Arial" w:cs="Arial"/>
          <w:sz w:val="24"/>
          <w:szCs w:val="24"/>
        </w:rPr>
        <w:t>Alamethicin</w:t>
      </w:r>
      <w:proofErr w:type="spellEnd"/>
      <w:r w:rsidRPr="00D04DEC">
        <w:rPr>
          <w:rFonts w:ascii="Arial" w:hAnsi="Arial" w:cs="Arial"/>
          <w:sz w:val="24"/>
          <w:szCs w:val="24"/>
        </w:rPr>
        <w:t xml:space="preserve"> (ALM) was used as a positive control and no peptide was used as a negative </w:t>
      </w:r>
      <w:r w:rsidRPr="00D04DEC">
        <w:rPr>
          <w:rFonts w:ascii="Arial" w:hAnsi="Arial" w:cs="Arial"/>
          <w:sz w:val="24"/>
          <w:szCs w:val="24"/>
        </w:rPr>
        <w:lastRenderedPageBreak/>
        <w:t xml:space="preserve">control for cytochrome c loss. BIM peptide concentration used at indicated concentration on the left. Scale bar is 100 </w:t>
      </w:r>
      <w:proofErr w:type="gramStart"/>
      <w:r w:rsidRPr="00D04DEC">
        <w:rPr>
          <w:rFonts w:ascii="Arial" w:hAnsi="Arial" w:cs="Arial"/>
          <w:sz w:val="24"/>
          <w:szCs w:val="24"/>
        </w:rPr>
        <w:t>um</w:t>
      </w:r>
      <w:proofErr w:type="gramEnd"/>
      <w:r w:rsidRPr="00D04DEC">
        <w:rPr>
          <w:rFonts w:ascii="Arial" w:hAnsi="Arial" w:cs="Arial"/>
          <w:sz w:val="24"/>
          <w:szCs w:val="24"/>
        </w:rPr>
        <w:t>.</w:t>
      </w:r>
    </w:p>
    <w:p w14:paraId="7313B4CC" w14:textId="77777777" w:rsidR="00B145C4" w:rsidRDefault="00B145C4" w:rsidP="00D04DEC">
      <w:pPr>
        <w:autoSpaceDE w:val="0"/>
        <w:autoSpaceDN w:val="0"/>
        <w:adjustRightInd w:val="0"/>
        <w:spacing w:before="120" w:after="0" w:line="480" w:lineRule="auto"/>
        <w:jc w:val="both"/>
        <w:rPr>
          <w:rFonts w:ascii="Arial" w:hAnsi="Arial" w:cs="Arial"/>
          <w:sz w:val="24"/>
          <w:szCs w:val="24"/>
        </w:rPr>
      </w:pPr>
    </w:p>
    <w:p w14:paraId="2BFC4EB1" w14:textId="6770643A" w:rsidR="00B145C4" w:rsidRDefault="00B145C4" w:rsidP="00B145C4">
      <w:pPr>
        <w:autoSpaceDE w:val="0"/>
        <w:autoSpaceDN w:val="0"/>
        <w:adjustRightInd w:val="0"/>
        <w:spacing w:before="120" w:after="0" w:line="480" w:lineRule="auto"/>
        <w:jc w:val="both"/>
        <w:rPr>
          <w:rFonts w:ascii="Arial" w:hAnsi="Arial" w:cs="Arial"/>
          <w:sz w:val="24"/>
          <w:szCs w:val="24"/>
        </w:rPr>
      </w:pPr>
      <w:r w:rsidRPr="00B145C4">
        <w:rPr>
          <w:rFonts w:ascii="Arial" w:hAnsi="Arial" w:cs="Arial"/>
          <w:b/>
          <w:bCs/>
          <w:sz w:val="24"/>
          <w:szCs w:val="24"/>
        </w:rPr>
        <w:t xml:space="preserve">Figure S4: Navitoclax plus etoposide increases apoptosis compared to either drug as a single agent in NSCLC. </w:t>
      </w:r>
      <w:r w:rsidRPr="00B145C4">
        <w:rPr>
          <w:rFonts w:ascii="Arial" w:hAnsi="Arial" w:cs="Arial"/>
          <w:sz w:val="24"/>
          <w:szCs w:val="24"/>
        </w:rPr>
        <w:t>Cells were exposed to the indicated concentration of navitoclax, etoposide or the combination for 72 hours and Annexin V positive cells % were measured by flow cytometry to determine apoptotic cells %. Apoptotic cells were normalized to DMSO-control wells. Bar graph showing apoptotic cells % for each treatment. *P &lt; .05, **P &lt; .01, and ***P &lt; .001 according to two-tailed unpaired t test. Graph represents the mean of three independent experiments ± standard deviation.</w:t>
      </w:r>
    </w:p>
    <w:p w14:paraId="5DC1F948" w14:textId="7CC42C6C" w:rsidR="004B4A5D" w:rsidRDefault="004B4A5D" w:rsidP="00B145C4">
      <w:pPr>
        <w:autoSpaceDE w:val="0"/>
        <w:autoSpaceDN w:val="0"/>
        <w:adjustRightInd w:val="0"/>
        <w:spacing w:before="120" w:after="0" w:line="480" w:lineRule="auto"/>
        <w:jc w:val="both"/>
        <w:rPr>
          <w:rFonts w:ascii="Arial" w:hAnsi="Arial" w:cs="Arial"/>
          <w:sz w:val="24"/>
          <w:szCs w:val="24"/>
        </w:rPr>
      </w:pPr>
    </w:p>
    <w:p w14:paraId="6D2DB355" w14:textId="77777777" w:rsidR="004B4A5D" w:rsidRPr="004B4A5D" w:rsidRDefault="004B4A5D" w:rsidP="004B4A5D">
      <w:pPr>
        <w:autoSpaceDE w:val="0"/>
        <w:autoSpaceDN w:val="0"/>
        <w:adjustRightInd w:val="0"/>
        <w:spacing w:before="120" w:after="0" w:line="480" w:lineRule="auto"/>
        <w:jc w:val="both"/>
        <w:rPr>
          <w:rFonts w:ascii="Arial" w:hAnsi="Arial" w:cs="Arial"/>
          <w:sz w:val="24"/>
          <w:szCs w:val="24"/>
        </w:rPr>
      </w:pPr>
      <w:r w:rsidRPr="004B4A5D">
        <w:rPr>
          <w:rFonts w:ascii="Arial" w:hAnsi="Arial" w:cs="Arial"/>
          <w:b/>
          <w:bCs/>
          <w:sz w:val="24"/>
          <w:szCs w:val="24"/>
        </w:rPr>
        <w:t xml:space="preserve">Figure S5: BIM protein levels after treatment with etoposide or docetaxel in NSCLC cell lines. </w:t>
      </w:r>
      <w:r w:rsidRPr="004B4A5D">
        <w:rPr>
          <w:rFonts w:ascii="Arial" w:hAnsi="Arial" w:cs="Arial"/>
          <w:sz w:val="24"/>
          <w:szCs w:val="24"/>
        </w:rPr>
        <w:t>H1975, H3255 and PC9 cells were treated with EC</w:t>
      </w:r>
      <w:r w:rsidRPr="004B4A5D">
        <w:rPr>
          <w:rFonts w:ascii="Arial" w:hAnsi="Arial" w:cs="Arial"/>
          <w:sz w:val="24"/>
          <w:szCs w:val="24"/>
          <w:vertAlign w:val="subscript"/>
        </w:rPr>
        <w:t xml:space="preserve">25 </w:t>
      </w:r>
      <w:r w:rsidRPr="004B4A5D">
        <w:rPr>
          <w:rFonts w:ascii="Arial" w:hAnsi="Arial" w:cs="Arial"/>
          <w:sz w:val="24"/>
          <w:szCs w:val="24"/>
        </w:rPr>
        <w:t xml:space="preserve">of etoposide (H1975 0.2 µM; H3255 1.4 µM; PC9 1.8 µM) or docetaxel (H1975 1 </w:t>
      </w:r>
      <w:proofErr w:type="spellStart"/>
      <w:r w:rsidRPr="004B4A5D">
        <w:rPr>
          <w:rFonts w:ascii="Arial" w:hAnsi="Arial" w:cs="Arial"/>
          <w:sz w:val="24"/>
          <w:szCs w:val="24"/>
        </w:rPr>
        <w:t>nM</w:t>
      </w:r>
      <w:proofErr w:type="spellEnd"/>
      <w:r w:rsidRPr="004B4A5D">
        <w:rPr>
          <w:rFonts w:ascii="Arial" w:hAnsi="Arial" w:cs="Arial"/>
          <w:sz w:val="24"/>
          <w:szCs w:val="24"/>
        </w:rPr>
        <w:t xml:space="preserve">; H3255 1.3 </w:t>
      </w:r>
      <w:proofErr w:type="spellStart"/>
      <w:r w:rsidRPr="004B4A5D">
        <w:rPr>
          <w:rFonts w:ascii="Arial" w:hAnsi="Arial" w:cs="Arial"/>
          <w:sz w:val="24"/>
          <w:szCs w:val="24"/>
        </w:rPr>
        <w:t>nM</w:t>
      </w:r>
      <w:proofErr w:type="spellEnd"/>
      <w:r w:rsidRPr="004B4A5D">
        <w:rPr>
          <w:rFonts w:ascii="Arial" w:hAnsi="Arial" w:cs="Arial"/>
          <w:sz w:val="24"/>
          <w:szCs w:val="24"/>
        </w:rPr>
        <w:t xml:space="preserve">; PC9 2.6 </w:t>
      </w:r>
      <w:proofErr w:type="spellStart"/>
      <w:r w:rsidRPr="004B4A5D">
        <w:rPr>
          <w:rFonts w:ascii="Arial" w:hAnsi="Arial" w:cs="Arial"/>
          <w:sz w:val="24"/>
          <w:szCs w:val="24"/>
        </w:rPr>
        <w:t>nM</w:t>
      </w:r>
      <w:proofErr w:type="spellEnd"/>
      <w:r w:rsidRPr="004B4A5D">
        <w:rPr>
          <w:rFonts w:ascii="Arial" w:hAnsi="Arial" w:cs="Arial"/>
          <w:sz w:val="24"/>
          <w:szCs w:val="24"/>
        </w:rPr>
        <w:t xml:space="preserve">) for 24 hours and then cells were lysed for western blotting the pro-apoptotic BIM protein. This Figures is representative of n=3. </w:t>
      </w:r>
    </w:p>
    <w:p w14:paraId="7445BD8A" w14:textId="77777777" w:rsidR="00D04DEC" w:rsidRPr="00D04DEC" w:rsidRDefault="00D04DEC" w:rsidP="00D04DEC">
      <w:pPr>
        <w:autoSpaceDE w:val="0"/>
        <w:autoSpaceDN w:val="0"/>
        <w:adjustRightInd w:val="0"/>
        <w:spacing w:before="120" w:after="0" w:line="480" w:lineRule="auto"/>
        <w:jc w:val="both"/>
        <w:rPr>
          <w:rFonts w:ascii="Arial" w:hAnsi="Arial" w:cs="Arial"/>
          <w:sz w:val="24"/>
          <w:szCs w:val="24"/>
        </w:rPr>
      </w:pPr>
    </w:p>
    <w:p w14:paraId="1FF15C72" w14:textId="40965037" w:rsidR="00415ECD" w:rsidRDefault="00415ECD" w:rsidP="00415ECD">
      <w:pPr>
        <w:autoSpaceDE w:val="0"/>
        <w:autoSpaceDN w:val="0"/>
        <w:adjustRightInd w:val="0"/>
        <w:spacing w:before="120" w:after="0" w:line="480" w:lineRule="auto"/>
        <w:jc w:val="both"/>
        <w:rPr>
          <w:rFonts w:ascii="Arial" w:hAnsi="Arial" w:cs="Arial"/>
          <w:sz w:val="24"/>
          <w:szCs w:val="24"/>
        </w:rPr>
      </w:pPr>
      <w:r w:rsidRPr="00415ECD">
        <w:rPr>
          <w:rFonts w:ascii="Arial" w:hAnsi="Arial" w:cs="Arial"/>
          <w:b/>
          <w:bCs/>
          <w:sz w:val="24"/>
          <w:szCs w:val="24"/>
        </w:rPr>
        <w:t>Figure S</w:t>
      </w:r>
      <w:r w:rsidR="00D04DEC">
        <w:rPr>
          <w:rFonts w:ascii="Arial" w:hAnsi="Arial" w:cs="Arial"/>
          <w:b/>
          <w:bCs/>
          <w:sz w:val="24"/>
          <w:szCs w:val="24"/>
        </w:rPr>
        <w:t>6</w:t>
      </w:r>
      <w:r w:rsidRPr="00415ECD">
        <w:rPr>
          <w:rFonts w:ascii="Arial" w:hAnsi="Arial" w:cs="Arial"/>
          <w:b/>
          <w:bCs/>
          <w:sz w:val="24"/>
          <w:szCs w:val="24"/>
        </w:rPr>
        <w:t>: BH3 mimetics combined with etoposide are well tolerated in vivo</w:t>
      </w:r>
      <w:r w:rsidRPr="00415ECD">
        <w:rPr>
          <w:rFonts w:ascii="Arial" w:hAnsi="Arial" w:cs="Arial"/>
          <w:sz w:val="24"/>
          <w:szCs w:val="24"/>
        </w:rPr>
        <w:t xml:space="preserve">. </w:t>
      </w:r>
      <w:r w:rsidRPr="00415ECD">
        <w:rPr>
          <w:rFonts w:ascii="Arial" w:hAnsi="Arial" w:cs="Arial"/>
          <w:b/>
          <w:bCs/>
          <w:sz w:val="24"/>
          <w:szCs w:val="24"/>
        </w:rPr>
        <w:t>(A)</w:t>
      </w:r>
      <w:r w:rsidRPr="00415ECD">
        <w:rPr>
          <w:rFonts w:ascii="Arial" w:hAnsi="Arial" w:cs="Arial"/>
          <w:sz w:val="24"/>
          <w:szCs w:val="24"/>
        </w:rPr>
        <w:t xml:space="preserve"> Schematic dosing schedule for navitoclax or venetoclax in combination with etoposide over 14 days of dosing. </w:t>
      </w:r>
      <w:r w:rsidRPr="00415ECD">
        <w:rPr>
          <w:rFonts w:ascii="Arial" w:hAnsi="Arial" w:cs="Arial"/>
          <w:b/>
          <w:bCs/>
          <w:sz w:val="24"/>
          <w:szCs w:val="24"/>
        </w:rPr>
        <w:t xml:space="preserve">(B &amp; C) </w:t>
      </w:r>
      <w:r w:rsidRPr="00415ECD">
        <w:rPr>
          <w:rFonts w:ascii="Arial" w:hAnsi="Arial" w:cs="Arial"/>
          <w:sz w:val="24"/>
          <w:szCs w:val="24"/>
        </w:rPr>
        <w:t>A tolerance study was carried out on the host mouse, SCID-beige. Treatment was with either navitoclax (</w:t>
      </w:r>
      <w:r w:rsidRPr="00415ECD">
        <w:rPr>
          <w:rFonts w:ascii="Arial" w:hAnsi="Arial" w:cs="Arial"/>
          <w:b/>
          <w:bCs/>
          <w:sz w:val="24"/>
          <w:szCs w:val="24"/>
        </w:rPr>
        <w:t>B</w:t>
      </w:r>
      <w:r w:rsidRPr="00415ECD">
        <w:rPr>
          <w:rFonts w:ascii="Arial" w:hAnsi="Arial" w:cs="Arial"/>
          <w:sz w:val="24"/>
          <w:szCs w:val="24"/>
        </w:rPr>
        <w:t>; 3 mice) or venetoclax (</w:t>
      </w:r>
      <w:r w:rsidRPr="00415ECD">
        <w:rPr>
          <w:rFonts w:ascii="Arial" w:hAnsi="Arial" w:cs="Arial"/>
          <w:b/>
          <w:bCs/>
          <w:sz w:val="24"/>
          <w:szCs w:val="24"/>
        </w:rPr>
        <w:t>C</w:t>
      </w:r>
      <w:r w:rsidRPr="00415ECD">
        <w:rPr>
          <w:rFonts w:ascii="Arial" w:hAnsi="Arial" w:cs="Arial"/>
          <w:sz w:val="24"/>
          <w:szCs w:val="24"/>
        </w:rPr>
        <w:t xml:space="preserve">; 3 mice) </w:t>
      </w:r>
      <w:r w:rsidRPr="00415ECD">
        <w:rPr>
          <w:rFonts w:ascii="Arial" w:hAnsi="Arial" w:cs="Arial"/>
          <w:sz w:val="24"/>
          <w:szCs w:val="24"/>
        </w:rPr>
        <w:lastRenderedPageBreak/>
        <w:t>daily for 14 days and etoposide on days 5, 6 and 7, then days 12, 13, and 14. Body weight/change (based on day 0 body weight) was monitored for 28 days.</w:t>
      </w:r>
    </w:p>
    <w:p w14:paraId="00F50D44" w14:textId="28BCA4B0" w:rsidR="00415ECD" w:rsidRDefault="00415ECD" w:rsidP="00223244">
      <w:pPr>
        <w:autoSpaceDE w:val="0"/>
        <w:autoSpaceDN w:val="0"/>
        <w:adjustRightInd w:val="0"/>
        <w:spacing w:before="120" w:after="0" w:line="480" w:lineRule="auto"/>
        <w:jc w:val="both"/>
        <w:rPr>
          <w:rFonts w:ascii="Arial" w:hAnsi="Arial" w:cs="Arial"/>
          <w:sz w:val="24"/>
          <w:szCs w:val="24"/>
        </w:rPr>
      </w:pPr>
    </w:p>
    <w:p w14:paraId="487BE806" w14:textId="79A51798" w:rsidR="00415ECD" w:rsidRDefault="00415ECD" w:rsidP="00415ECD">
      <w:pPr>
        <w:autoSpaceDE w:val="0"/>
        <w:autoSpaceDN w:val="0"/>
        <w:adjustRightInd w:val="0"/>
        <w:spacing w:before="120" w:after="0" w:line="480" w:lineRule="auto"/>
        <w:jc w:val="both"/>
        <w:rPr>
          <w:rFonts w:ascii="Arial" w:hAnsi="Arial" w:cs="Arial"/>
          <w:sz w:val="24"/>
          <w:szCs w:val="24"/>
        </w:rPr>
      </w:pPr>
      <w:r w:rsidRPr="00415ECD">
        <w:rPr>
          <w:rFonts w:ascii="Arial" w:hAnsi="Arial" w:cs="Arial"/>
          <w:b/>
          <w:bCs/>
          <w:sz w:val="24"/>
          <w:szCs w:val="24"/>
        </w:rPr>
        <w:t>Figure S</w:t>
      </w:r>
      <w:r w:rsidR="00D04DEC">
        <w:rPr>
          <w:rFonts w:ascii="Arial" w:hAnsi="Arial" w:cs="Arial"/>
          <w:b/>
          <w:bCs/>
          <w:sz w:val="24"/>
          <w:szCs w:val="24"/>
        </w:rPr>
        <w:t>7</w:t>
      </w:r>
      <w:r w:rsidRPr="00415ECD">
        <w:rPr>
          <w:rFonts w:ascii="Arial" w:hAnsi="Arial" w:cs="Arial"/>
          <w:b/>
          <w:bCs/>
          <w:sz w:val="24"/>
          <w:szCs w:val="24"/>
        </w:rPr>
        <w:t>: BIM dose response on fresh primary NSCLC tumor cells to calculate BIM EC</w:t>
      </w:r>
      <w:r w:rsidRPr="00415ECD">
        <w:rPr>
          <w:rFonts w:ascii="Arial" w:hAnsi="Arial" w:cs="Arial"/>
          <w:b/>
          <w:bCs/>
          <w:sz w:val="24"/>
          <w:szCs w:val="24"/>
          <w:vertAlign w:val="subscript"/>
        </w:rPr>
        <w:t>10</w:t>
      </w:r>
      <w:r w:rsidRPr="00415ECD">
        <w:rPr>
          <w:rFonts w:ascii="Arial" w:hAnsi="Arial" w:cs="Arial"/>
          <w:b/>
          <w:bCs/>
          <w:sz w:val="24"/>
          <w:szCs w:val="24"/>
        </w:rPr>
        <w:t xml:space="preserve">. </w:t>
      </w:r>
      <w:r w:rsidRPr="00415ECD">
        <w:rPr>
          <w:rFonts w:ascii="Arial" w:hAnsi="Arial" w:cs="Arial"/>
          <w:sz w:val="24"/>
          <w:szCs w:val="24"/>
        </w:rPr>
        <w:t>A</w:t>
      </w:r>
      <w:r w:rsidRPr="00415ECD">
        <w:rPr>
          <w:rFonts w:ascii="Arial" w:hAnsi="Arial" w:cs="Arial"/>
          <w:b/>
          <w:bCs/>
          <w:sz w:val="24"/>
          <w:szCs w:val="24"/>
        </w:rPr>
        <w:t xml:space="preserve"> </w:t>
      </w:r>
      <w:r w:rsidRPr="00415ECD">
        <w:rPr>
          <w:rFonts w:ascii="Arial" w:hAnsi="Arial" w:cs="Arial"/>
          <w:sz w:val="24"/>
          <w:szCs w:val="24"/>
        </w:rPr>
        <w:t>BIM dose response on untreated NSCLC primary tumor cells was carried to calculate the optimum BIM concentration where MOMP is about to occur (BIM EC</w:t>
      </w:r>
      <w:r w:rsidRPr="00415ECD">
        <w:rPr>
          <w:rFonts w:ascii="Arial" w:hAnsi="Arial" w:cs="Arial"/>
          <w:sz w:val="24"/>
          <w:szCs w:val="24"/>
          <w:vertAlign w:val="subscript"/>
        </w:rPr>
        <w:t>10</w:t>
      </w:r>
      <w:r w:rsidRPr="00415ECD">
        <w:rPr>
          <w:rFonts w:ascii="Arial" w:hAnsi="Arial" w:cs="Arial"/>
          <w:sz w:val="24"/>
          <w:szCs w:val="24"/>
        </w:rPr>
        <w:t>). The calculated BIM EC</w:t>
      </w:r>
      <w:r w:rsidRPr="00415ECD">
        <w:rPr>
          <w:rFonts w:ascii="Arial" w:hAnsi="Arial" w:cs="Arial"/>
          <w:sz w:val="24"/>
          <w:szCs w:val="24"/>
          <w:vertAlign w:val="subscript"/>
        </w:rPr>
        <w:t xml:space="preserve">10 </w:t>
      </w:r>
      <w:r w:rsidRPr="00415ECD">
        <w:rPr>
          <w:rFonts w:ascii="Arial" w:hAnsi="Arial" w:cs="Arial"/>
          <w:sz w:val="24"/>
          <w:szCs w:val="24"/>
        </w:rPr>
        <w:t>is then used in HTDBP.</w:t>
      </w:r>
    </w:p>
    <w:p w14:paraId="4D872365" w14:textId="77777777" w:rsidR="007C7C9B" w:rsidRDefault="007C7C9B" w:rsidP="00415ECD">
      <w:pPr>
        <w:autoSpaceDE w:val="0"/>
        <w:autoSpaceDN w:val="0"/>
        <w:adjustRightInd w:val="0"/>
        <w:spacing w:before="120" w:after="0" w:line="480" w:lineRule="auto"/>
        <w:jc w:val="both"/>
        <w:rPr>
          <w:rFonts w:ascii="Arial" w:hAnsi="Arial" w:cs="Arial"/>
          <w:sz w:val="24"/>
          <w:szCs w:val="24"/>
        </w:rPr>
      </w:pPr>
    </w:p>
    <w:p w14:paraId="6032C6F7" w14:textId="0F07F489" w:rsidR="007C7C9B" w:rsidRPr="00230F29" w:rsidRDefault="007C7C9B" w:rsidP="007C7C9B">
      <w:pPr>
        <w:autoSpaceDE w:val="0"/>
        <w:autoSpaceDN w:val="0"/>
        <w:adjustRightInd w:val="0"/>
        <w:spacing w:before="120" w:after="0" w:line="480" w:lineRule="auto"/>
        <w:jc w:val="both"/>
        <w:rPr>
          <w:rFonts w:ascii="Arial" w:hAnsi="Arial" w:cs="Arial"/>
          <w:sz w:val="24"/>
          <w:szCs w:val="24"/>
        </w:rPr>
      </w:pPr>
      <w:r w:rsidRPr="00230F29">
        <w:rPr>
          <w:rFonts w:ascii="Arial" w:hAnsi="Arial" w:cs="Arial"/>
          <w:b/>
          <w:bCs/>
          <w:sz w:val="24"/>
          <w:szCs w:val="24"/>
        </w:rPr>
        <w:t>Figure S</w:t>
      </w:r>
      <w:r>
        <w:rPr>
          <w:rFonts w:ascii="Arial" w:hAnsi="Arial" w:cs="Arial"/>
          <w:b/>
          <w:bCs/>
          <w:sz w:val="24"/>
          <w:szCs w:val="24"/>
        </w:rPr>
        <w:t>8</w:t>
      </w:r>
      <w:r w:rsidRPr="00230F29">
        <w:rPr>
          <w:rFonts w:ascii="Arial" w:hAnsi="Arial" w:cs="Arial"/>
          <w:b/>
          <w:bCs/>
          <w:sz w:val="24"/>
          <w:szCs w:val="24"/>
        </w:rPr>
        <w:t xml:space="preserve">: Navitoclax or S63845 single agent are well tolerated in vivo but the navitoclax and S63845 combination is not. </w:t>
      </w:r>
      <w:r w:rsidRPr="00230F29">
        <w:rPr>
          <w:rFonts w:ascii="Arial" w:hAnsi="Arial" w:cs="Arial"/>
          <w:sz w:val="24"/>
          <w:szCs w:val="24"/>
        </w:rPr>
        <w:t>A tolerance study was carried out on the host mouse, SCID-beige and mouse weight and weight change was measured daily for 35 days (21 days of dosing and 14 days recovery period after dosing). Treatment was with either navitoclax (A; 4 mice), S63845 (B; 4 mice) or navitoclax + S63845 combination (C) for 21 days. Navitoclax was dosed at 100 mg/kg by oral gavage daily for 21 days. S63845 was dosed at 25 mg/k by intravenous injection, twice a week (Tuesday and Friday) for 21 days. The combination was scheduled to be dosed at the same concentration as the single agent arms with navitoclax dosed first and S63845 dosed 8 hours later. Unfortunately, all mice in the navitoclax and S63845 combination arm died withing 4 hours of the second drug S63845 being administered. Mice died of serve toxic events.</w:t>
      </w:r>
    </w:p>
    <w:p w14:paraId="556C4C78" w14:textId="77777777" w:rsidR="007C7C9B" w:rsidRDefault="007C7C9B" w:rsidP="00D04DEC">
      <w:pPr>
        <w:autoSpaceDE w:val="0"/>
        <w:autoSpaceDN w:val="0"/>
        <w:adjustRightInd w:val="0"/>
        <w:spacing w:before="120" w:after="0" w:line="480" w:lineRule="auto"/>
        <w:jc w:val="both"/>
        <w:rPr>
          <w:rFonts w:ascii="Arial" w:hAnsi="Arial" w:cs="Arial"/>
          <w:sz w:val="24"/>
          <w:szCs w:val="24"/>
        </w:rPr>
      </w:pPr>
    </w:p>
    <w:p w14:paraId="78A9B378" w14:textId="0B68FADB" w:rsidR="00D04DEC" w:rsidRPr="00D04DEC" w:rsidRDefault="00D04DEC" w:rsidP="00D04DEC">
      <w:pPr>
        <w:autoSpaceDE w:val="0"/>
        <w:autoSpaceDN w:val="0"/>
        <w:adjustRightInd w:val="0"/>
        <w:spacing w:before="120" w:after="0" w:line="480" w:lineRule="auto"/>
        <w:jc w:val="both"/>
        <w:rPr>
          <w:rFonts w:ascii="Arial" w:hAnsi="Arial" w:cs="Arial"/>
          <w:sz w:val="24"/>
          <w:szCs w:val="24"/>
        </w:rPr>
      </w:pPr>
      <w:r w:rsidRPr="00D04DEC">
        <w:rPr>
          <w:rFonts w:ascii="Arial" w:hAnsi="Arial" w:cs="Arial"/>
          <w:b/>
          <w:bCs/>
          <w:sz w:val="24"/>
          <w:szCs w:val="24"/>
        </w:rPr>
        <w:lastRenderedPageBreak/>
        <w:t>Figure S</w:t>
      </w:r>
      <w:r w:rsidR="007C7C9B">
        <w:rPr>
          <w:rFonts w:ascii="Arial" w:hAnsi="Arial" w:cs="Arial"/>
          <w:b/>
          <w:bCs/>
          <w:sz w:val="24"/>
          <w:szCs w:val="24"/>
        </w:rPr>
        <w:t>9</w:t>
      </w:r>
      <w:r w:rsidRPr="00D04DEC">
        <w:rPr>
          <w:rFonts w:ascii="Arial" w:hAnsi="Arial" w:cs="Arial"/>
          <w:b/>
          <w:bCs/>
          <w:sz w:val="24"/>
          <w:szCs w:val="24"/>
        </w:rPr>
        <w:t xml:space="preserve">: Representative CROCS-HTDBP microscopy images of primary NSCLC tumor cells. </w:t>
      </w:r>
      <w:r w:rsidRPr="00D04DEC">
        <w:rPr>
          <w:rFonts w:ascii="Arial" w:hAnsi="Arial" w:cs="Arial"/>
          <w:sz w:val="24"/>
          <w:szCs w:val="24"/>
        </w:rPr>
        <w:t xml:space="preserve">Primary NSCLC tumor cells were treated as previously described in </w:t>
      </w:r>
      <w:r w:rsidRPr="00D04DEC">
        <w:rPr>
          <w:rFonts w:ascii="Arial" w:hAnsi="Arial" w:cs="Arial"/>
          <w:b/>
          <w:bCs/>
          <w:sz w:val="24"/>
          <w:szCs w:val="24"/>
        </w:rPr>
        <w:t>Fig. 4</w:t>
      </w:r>
      <w:r w:rsidRPr="00D04DEC">
        <w:rPr>
          <w:rFonts w:ascii="Arial" w:hAnsi="Arial" w:cs="Arial"/>
          <w:sz w:val="24"/>
          <w:szCs w:val="24"/>
        </w:rPr>
        <w:t xml:space="preserve">. Immunofluorescence microscopy images taken at 10-fold magnification. Hoechst 33342 used to stain DNA (blue) and therefore identify the number of cells present in each well. Pan-cytokeratin antibody used to identify epithelial/tumor cells (parent population). From the parent population the cytochrome c positive cells % was determined using cytochrome c-647 antibody (red). DMSO treatment is a negative control for cytochrome c loss. Non-hit is a drug treatment that didn’t score a Z-score ≥ 3. Hit is the drug treatment that scored Z-score ≥ 3. The top hit is the highest Z-score for that primary NSCLC sample. Scale bar is 100 </w:t>
      </w:r>
      <w:proofErr w:type="gramStart"/>
      <w:r w:rsidRPr="00D04DEC">
        <w:rPr>
          <w:rFonts w:ascii="Arial" w:hAnsi="Arial" w:cs="Arial"/>
          <w:sz w:val="24"/>
          <w:szCs w:val="24"/>
        </w:rPr>
        <w:t>um</w:t>
      </w:r>
      <w:proofErr w:type="gramEnd"/>
      <w:r w:rsidRPr="00D04DEC">
        <w:rPr>
          <w:rFonts w:ascii="Arial" w:hAnsi="Arial" w:cs="Arial"/>
          <w:sz w:val="24"/>
          <w:szCs w:val="24"/>
        </w:rPr>
        <w:t xml:space="preserve">. </w:t>
      </w:r>
    </w:p>
    <w:p w14:paraId="08CB8A24" w14:textId="331D662E" w:rsidR="00415ECD" w:rsidRDefault="00415ECD" w:rsidP="00223244">
      <w:pPr>
        <w:autoSpaceDE w:val="0"/>
        <w:autoSpaceDN w:val="0"/>
        <w:adjustRightInd w:val="0"/>
        <w:spacing w:before="120" w:after="0" w:line="480" w:lineRule="auto"/>
        <w:jc w:val="both"/>
        <w:rPr>
          <w:rFonts w:ascii="Arial" w:hAnsi="Arial" w:cs="Arial"/>
          <w:b/>
          <w:bCs/>
          <w:sz w:val="24"/>
          <w:szCs w:val="24"/>
        </w:rPr>
      </w:pPr>
    </w:p>
    <w:p w14:paraId="09E5CDD4" w14:textId="15CC9706" w:rsidR="00D04DEC" w:rsidRPr="00415ECD" w:rsidRDefault="00D04DEC" w:rsidP="00230F29">
      <w:pPr>
        <w:autoSpaceDE w:val="0"/>
        <w:autoSpaceDN w:val="0"/>
        <w:adjustRightInd w:val="0"/>
        <w:spacing w:before="120" w:after="0" w:line="480" w:lineRule="auto"/>
        <w:jc w:val="both"/>
        <w:rPr>
          <w:rFonts w:ascii="Arial" w:hAnsi="Arial" w:cs="Arial"/>
          <w:sz w:val="24"/>
          <w:szCs w:val="24"/>
        </w:rPr>
      </w:pPr>
    </w:p>
    <w:sectPr w:rsidR="00D04DEC" w:rsidRPr="00415ECD" w:rsidSect="008A2C14">
      <w:footerReference w:type="default" r:id="rId6"/>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DB16F" w14:textId="77777777" w:rsidR="00234D6B" w:rsidRDefault="00234D6B">
      <w:pPr>
        <w:spacing w:after="0" w:line="240" w:lineRule="auto"/>
      </w:pPr>
      <w:r>
        <w:separator/>
      </w:r>
    </w:p>
  </w:endnote>
  <w:endnote w:type="continuationSeparator" w:id="0">
    <w:p w14:paraId="74D1399C" w14:textId="77777777" w:rsidR="00234D6B" w:rsidRDefault="0023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18807"/>
      <w:docPartObj>
        <w:docPartGallery w:val="Page Numbers (Bottom of Page)"/>
        <w:docPartUnique/>
      </w:docPartObj>
    </w:sdtPr>
    <w:sdtEndPr>
      <w:rPr>
        <w:noProof/>
      </w:rPr>
    </w:sdtEndPr>
    <w:sdtContent>
      <w:p w14:paraId="16A02959" w14:textId="77777777" w:rsidR="008A2C14" w:rsidRDefault="00CE60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5EF927" w14:textId="77777777" w:rsidR="008A2C14" w:rsidRDefault="00234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022D8" w14:textId="77777777" w:rsidR="00234D6B" w:rsidRDefault="00234D6B">
      <w:pPr>
        <w:spacing w:after="0" w:line="240" w:lineRule="auto"/>
      </w:pPr>
      <w:r>
        <w:separator/>
      </w:r>
    </w:p>
  </w:footnote>
  <w:footnote w:type="continuationSeparator" w:id="0">
    <w:p w14:paraId="47AA1B09" w14:textId="77777777" w:rsidR="00234D6B" w:rsidRDefault="00234D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E5"/>
    <w:rsid w:val="000C0B4A"/>
    <w:rsid w:val="00107447"/>
    <w:rsid w:val="00223244"/>
    <w:rsid w:val="00230F29"/>
    <w:rsid w:val="00234D6B"/>
    <w:rsid w:val="002D59CB"/>
    <w:rsid w:val="003F1971"/>
    <w:rsid w:val="00415ECD"/>
    <w:rsid w:val="004B4A5D"/>
    <w:rsid w:val="004F744F"/>
    <w:rsid w:val="00765FDA"/>
    <w:rsid w:val="007C7C9B"/>
    <w:rsid w:val="007D35F4"/>
    <w:rsid w:val="008217CE"/>
    <w:rsid w:val="0088613A"/>
    <w:rsid w:val="009C7B2F"/>
    <w:rsid w:val="00A144FA"/>
    <w:rsid w:val="00B145C4"/>
    <w:rsid w:val="00CD2B41"/>
    <w:rsid w:val="00CD50F9"/>
    <w:rsid w:val="00CE60D5"/>
    <w:rsid w:val="00CE7C61"/>
    <w:rsid w:val="00D04DEC"/>
    <w:rsid w:val="00D955AC"/>
    <w:rsid w:val="00FB3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F988"/>
  <w15:chartTrackingRefBased/>
  <w15:docId w15:val="{10123B5F-1C51-405E-8A61-1431C75D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0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3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E5"/>
  </w:style>
  <w:style w:type="character" w:styleId="LineNumber">
    <w:name w:val="line number"/>
    <w:basedOn w:val="DefaultParagraphFont"/>
    <w:uiPriority w:val="99"/>
    <w:semiHidden/>
    <w:unhideWhenUsed/>
    <w:rsid w:val="00FB30E5"/>
  </w:style>
  <w:style w:type="character" w:styleId="CommentReference">
    <w:name w:val="annotation reference"/>
    <w:basedOn w:val="DefaultParagraphFont"/>
    <w:uiPriority w:val="99"/>
    <w:semiHidden/>
    <w:unhideWhenUsed/>
    <w:rsid w:val="009C7B2F"/>
    <w:rPr>
      <w:sz w:val="16"/>
      <w:szCs w:val="16"/>
    </w:rPr>
  </w:style>
  <w:style w:type="paragraph" w:styleId="CommentText">
    <w:name w:val="annotation text"/>
    <w:basedOn w:val="Normal"/>
    <w:link w:val="CommentTextChar"/>
    <w:uiPriority w:val="99"/>
    <w:semiHidden/>
    <w:unhideWhenUsed/>
    <w:rsid w:val="009C7B2F"/>
    <w:pPr>
      <w:spacing w:line="240" w:lineRule="auto"/>
    </w:pPr>
    <w:rPr>
      <w:sz w:val="20"/>
      <w:szCs w:val="20"/>
    </w:rPr>
  </w:style>
  <w:style w:type="character" w:customStyle="1" w:styleId="CommentTextChar">
    <w:name w:val="Comment Text Char"/>
    <w:basedOn w:val="DefaultParagraphFont"/>
    <w:link w:val="CommentText"/>
    <w:uiPriority w:val="99"/>
    <w:semiHidden/>
    <w:rsid w:val="009C7B2F"/>
    <w:rPr>
      <w:sz w:val="20"/>
      <w:szCs w:val="20"/>
    </w:rPr>
  </w:style>
  <w:style w:type="paragraph" w:styleId="CommentSubject">
    <w:name w:val="annotation subject"/>
    <w:basedOn w:val="CommentText"/>
    <w:next w:val="CommentText"/>
    <w:link w:val="CommentSubjectChar"/>
    <w:uiPriority w:val="99"/>
    <w:semiHidden/>
    <w:unhideWhenUsed/>
    <w:rsid w:val="009C7B2F"/>
    <w:rPr>
      <w:b/>
      <w:bCs/>
    </w:rPr>
  </w:style>
  <w:style w:type="character" w:customStyle="1" w:styleId="CommentSubjectChar">
    <w:name w:val="Comment Subject Char"/>
    <w:basedOn w:val="CommentTextChar"/>
    <w:link w:val="CommentSubject"/>
    <w:uiPriority w:val="99"/>
    <w:semiHidden/>
    <w:rsid w:val="009C7B2F"/>
    <w:rPr>
      <w:b/>
      <w:bCs/>
      <w:sz w:val="20"/>
      <w:szCs w:val="20"/>
    </w:rPr>
  </w:style>
  <w:style w:type="paragraph" w:styleId="BalloonText">
    <w:name w:val="Balloon Text"/>
    <w:basedOn w:val="Normal"/>
    <w:link w:val="BalloonTextChar"/>
    <w:uiPriority w:val="99"/>
    <w:semiHidden/>
    <w:unhideWhenUsed/>
    <w:rsid w:val="009C7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B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733300">
      <w:bodyDiv w:val="1"/>
      <w:marLeft w:val="0"/>
      <w:marRight w:val="0"/>
      <w:marTop w:val="0"/>
      <w:marBottom w:val="0"/>
      <w:divBdr>
        <w:top w:val="none" w:sz="0" w:space="0" w:color="auto"/>
        <w:left w:val="none" w:sz="0" w:space="0" w:color="auto"/>
        <w:bottom w:val="none" w:sz="0" w:space="0" w:color="auto"/>
        <w:right w:val="none" w:sz="0" w:space="0" w:color="auto"/>
      </w:divBdr>
    </w:div>
    <w:div w:id="574557038">
      <w:bodyDiv w:val="1"/>
      <w:marLeft w:val="0"/>
      <w:marRight w:val="0"/>
      <w:marTop w:val="0"/>
      <w:marBottom w:val="0"/>
      <w:divBdr>
        <w:top w:val="none" w:sz="0" w:space="0" w:color="auto"/>
        <w:left w:val="none" w:sz="0" w:space="0" w:color="auto"/>
        <w:bottom w:val="none" w:sz="0" w:space="0" w:color="auto"/>
        <w:right w:val="none" w:sz="0" w:space="0" w:color="auto"/>
      </w:divBdr>
    </w:div>
    <w:div w:id="672993637">
      <w:bodyDiv w:val="1"/>
      <w:marLeft w:val="0"/>
      <w:marRight w:val="0"/>
      <w:marTop w:val="0"/>
      <w:marBottom w:val="0"/>
      <w:divBdr>
        <w:top w:val="none" w:sz="0" w:space="0" w:color="auto"/>
        <w:left w:val="none" w:sz="0" w:space="0" w:color="auto"/>
        <w:bottom w:val="none" w:sz="0" w:space="0" w:color="auto"/>
        <w:right w:val="none" w:sz="0" w:space="0" w:color="auto"/>
      </w:divBdr>
    </w:div>
    <w:div w:id="687217672">
      <w:bodyDiv w:val="1"/>
      <w:marLeft w:val="0"/>
      <w:marRight w:val="0"/>
      <w:marTop w:val="0"/>
      <w:marBottom w:val="0"/>
      <w:divBdr>
        <w:top w:val="none" w:sz="0" w:space="0" w:color="auto"/>
        <w:left w:val="none" w:sz="0" w:space="0" w:color="auto"/>
        <w:bottom w:val="none" w:sz="0" w:space="0" w:color="auto"/>
        <w:right w:val="none" w:sz="0" w:space="0" w:color="auto"/>
      </w:divBdr>
    </w:div>
    <w:div w:id="853420731">
      <w:bodyDiv w:val="1"/>
      <w:marLeft w:val="0"/>
      <w:marRight w:val="0"/>
      <w:marTop w:val="0"/>
      <w:marBottom w:val="0"/>
      <w:divBdr>
        <w:top w:val="none" w:sz="0" w:space="0" w:color="auto"/>
        <w:left w:val="none" w:sz="0" w:space="0" w:color="auto"/>
        <w:bottom w:val="none" w:sz="0" w:space="0" w:color="auto"/>
        <w:right w:val="none" w:sz="0" w:space="0" w:color="auto"/>
      </w:divBdr>
    </w:div>
    <w:div w:id="931083199">
      <w:bodyDiv w:val="1"/>
      <w:marLeft w:val="0"/>
      <w:marRight w:val="0"/>
      <w:marTop w:val="0"/>
      <w:marBottom w:val="0"/>
      <w:divBdr>
        <w:top w:val="none" w:sz="0" w:space="0" w:color="auto"/>
        <w:left w:val="none" w:sz="0" w:space="0" w:color="auto"/>
        <w:bottom w:val="none" w:sz="0" w:space="0" w:color="auto"/>
        <w:right w:val="none" w:sz="0" w:space="0" w:color="auto"/>
      </w:divBdr>
    </w:div>
    <w:div w:id="936670157">
      <w:bodyDiv w:val="1"/>
      <w:marLeft w:val="0"/>
      <w:marRight w:val="0"/>
      <w:marTop w:val="0"/>
      <w:marBottom w:val="0"/>
      <w:divBdr>
        <w:top w:val="none" w:sz="0" w:space="0" w:color="auto"/>
        <w:left w:val="none" w:sz="0" w:space="0" w:color="auto"/>
        <w:bottom w:val="none" w:sz="0" w:space="0" w:color="auto"/>
        <w:right w:val="none" w:sz="0" w:space="0" w:color="auto"/>
      </w:divBdr>
    </w:div>
    <w:div w:id="982781540">
      <w:bodyDiv w:val="1"/>
      <w:marLeft w:val="0"/>
      <w:marRight w:val="0"/>
      <w:marTop w:val="0"/>
      <w:marBottom w:val="0"/>
      <w:divBdr>
        <w:top w:val="none" w:sz="0" w:space="0" w:color="auto"/>
        <w:left w:val="none" w:sz="0" w:space="0" w:color="auto"/>
        <w:bottom w:val="none" w:sz="0" w:space="0" w:color="auto"/>
        <w:right w:val="none" w:sz="0" w:space="0" w:color="auto"/>
      </w:divBdr>
    </w:div>
    <w:div w:id="1130241514">
      <w:bodyDiv w:val="1"/>
      <w:marLeft w:val="0"/>
      <w:marRight w:val="0"/>
      <w:marTop w:val="0"/>
      <w:marBottom w:val="0"/>
      <w:divBdr>
        <w:top w:val="none" w:sz="0" w:space="0" w:color="auto"/>
        <w:left w:val="none" w:sz="0" w:space="0" w:color="auto"/>
        <w:bottom w:val="none" w:sz="0" w:space="0" w:color="auto"/>
        <w:right w:val="none" w:sz="0" w:space="0" w:color="auto"/>
      </w:divBdr>
    </w:div>
    <w:div w:id="1372656148">
      <w:bodyDiv w:val="1"/>
      <w:marLeft w:val="0"/>
      <w:marRight w:val="0"/>
      <w:marTop w:val="0"/>
      <w:marBottom w:val="0"/>
      <w:divBdr>
        <w:top w:val="none" w:sz="0" w:space="0" w:color="auto"/>
        <w:left w:val="none" w:sz="0" w:space="0" w:color="auto"/>
        <w:bottom w:val="none" w:sz="0" w:space="0" w:color="auto"/>
        <w:right w:val="none" w:sz="0" w:space="0" w:color="auto"/>
      </w:divBdr>
    </w:div>
    <w:div w:id="1395809419">
      <w:bodyDiv w:val="1"/>
      <w:marLeft w:val="0"/>
      <w:marRight w:val="0"/>
      <w:marTop w:val="0"/>
      <w:marBottom w:val="0"/>
      <w:divBdr>
        <w:top w:val="none" w:sz="0" w:space="0" w:color="auto"/>
        <w:left w:val="none" w:sz="0" w:space="0" w:color="auto"/>
        <w:bottom w:val="none" w:sz="0" w:space="0" w:color="auto"/>
        <w:right w:val="none" w:sz="0" w:space="0" w:color="auto"/>
      </w:divBdr>
    </w:div>
    <w:div w:id="1545287966">
      <w:bodyDiv w:val="1"/>
      <w:marLeft w:val="0"/>
      <w:marRight w:val="0"/>
      <w:marTop w:val="0"/>
      <w:marBottom w:val="0"/>
      <w:divBdr>
        <w:top w:val="none" w:sz="0" w:space="0" w:color="auto"/>
        <w:left w:val="none" w:sz="0" w:space="0" w:color="auto"/>
        <w:bottom w:val="none" w:sz="0" w:space="0" w:color="auto"/>
        <w:right w:val="none" w:sz="0" w:space="0" w:color="auto"/>
      </w:divBdr>
    </w:div>
    <w:div w:id="1554149435">
      <w:bodyDiv w:val="1"/>
      <w:marLeft w:val="0"/>
      <w:marRight w:val="0"/>
      <w:marTop w:val="0"/>
      <w:marBottom w:val="0"/>
      <w:divBdr>
        <w:top w:val="none" w:sz="0" w:space="0" w:color="auto"/>
        <w:left w:val="none" w:sz="0" w:space="0" w:color="auto"/>
        <w:bottom w:val="none" w:sz="0" w:space="0" w:color="auto"/>
        <w:right w:val="none" w:sz="0" w:space="0" w:color="auto"/>
      </w:divBdr>
    </w:div>
    <w:div w:id="1560634437">
      <w:bodyDiv w:val="1"/>
      <w:marLeft w:val="0"/>
      <w:marRight w:val="0"/>
      <w:marTop w:val="0"/>
      <w:marBottom w:val="0"/>
      <w:divBdr>
        <w:top w:val="none" w:sz="0" w:space="0" w:color="auto"/>
        <w:left w:val="none" w:sz="0" w:space="0" w:color="auto"/>
        <w:bottom w:val="none" w:sz="0" w:space="0" w:color="auto"/>
        <w:right w:val="none" w:sz="0" w:space="0" w:color="auto"/>
      </w:divBdr>
    </w:div>
    <w:div w:id="1674063424">
      <w:bodyDiv w:val="1"/>
      <w:marLeft w:val="0"/>
      <w:marRight w:val="0"/>
      <w:marTop w:val="0"/>
      <w:marBottom w:val="0"/>
      <w:divBdr>
        <w:top w:val="none" w:sz="0" w:space="0" w:color="auto"/>
        <w:left w:val="none" w:sz="0" w:space="0" w:color="auto"/>
        <w:bottom w:val="none" w:sz="0" w:space="0" w:color="auto"/>
        <w:right w:val="none" w:sz="0" w:space="0" w:color="auto"/>
      </w:divBdr>
    </w:div>
    <w:div w:id="1690520416">
      <w:bodyDiv w:val="1"/>
      <w:marLeft w:val="0"/>
      <w:marRight w:val="0"/>
      <w:marTop w:val="0"/>
      <w:marBottom w:val="0"/>
      <w:divBdr>
        <w:top w:val="none" w:sz="0" w:space="0" w:color="auto"/>
        <w:left w:val="none" w:sz="0" w:space="0" w:color="auto"/>
        <w:bottom w:val="none" w:sz="0" w:space="0" w:color="auto"/>
        <w:right w:val="none" w:sz="0" w:space="0" w:color="auto"/>
      </w:divBdr>
    </w:div>
    <w:div w:id="1705325685">
      <w:bodyDiv w:val="1"/>
      <w:marLeft w:val="0"/>
      <w:marRight w:val="0"/>
      <w:marTop w:val="0"/>
      <w:marBottom w:val="0"/>
      <w:divBdr>
        <w:top w:val="none" w:sz="0" w:space="0" w:color="auto"/>
        <w:left w:val="none" w:sz="0" w:space="0" w:color="auto"/>
        <w:bottom w:val="none" w:sz="0" w:space="0" w:color="auto"/>
        <w:right w:val="none" w:sz="0" w:space="0" w:color="auto"/>
      </w:divBdr>
    </w:div>
    <w:div w:id="1979607586">
      <w:bodyDiv w:val="1"/>
      <w:marLeft w:val="0"/>
      <w:marRight w:val="0"/>
      <w:marTop w:val="0"/>
      <w:marBottom w:val="0"/>
      <w:divBdr>
        <w:top w:val="none" w:sz="0" w:space="0" w:color="auto"/>
        <w:left w:val="none" w:sz="0" w:space="0" w:color="auto"/>
        <w:bottom w:val="none" w:sz="0" w:space="0" w:color="auto"/>
        <w:right w:val="none" w:sz="0" w:space="0" w:color="auto"/>
      </w:divBdr>
    </w:div>
    <w:div w:id="208649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Potter, Danielle S.</dc:creator>
  <cp:keywords/>
  <dc:description/>
  <cp:lastModifiedBy>Potter, Danielle S.</cp:lastModifiedBy>
  <cp:revision>13</cp:revision>
  <dcterms:created xsi:type="dcterms:W3CDTF">2020-08-19T22:10:00Z</dcterms:created>
  <dcterms:modified xsi:type="dcterms:W3CDTF">2021-03-16T15:18:00Z</dcterms:modified>
</cp:coreProperties>
</file>