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F8338" w14:textId="5DD253B1" w:rsidR="001814F8" w:rsidRDefault="001814F8" w:rsidP="001814F8">
      <w:pPr>
        <w:spacing w:line="360" w:lineRule="auto"/>
        <w:rPr>
          <w:rFonts w:ascii="Times New Roman" w:hAnsi="Times New Roman" w:cs="Times New Roman"/>
          <w:b/>
          <w:sz w:val="24"/>
          <w:szCs w:val="24"/>
        </w:rPr>
      </w:pPr>
      <w:r w:rsidRPr="001814F8">
        <w:rPr>
          <w:rFonts w:ascii="Times New Roman" w:hAnsi="Times New Roman" w:cs="Times New Roman"/>
          <w:b/>
          <w:sz w:val="24"/>
          <w:szCs w:val="24"/>
        </w:rPr>
        <w:t>S</w:t>
      </w:r>
      <w:r w:rsidRPr="001814F8">
        <w:rPr>
          <w:rFonts w:ascii="Times New Roman" w:hAnsi="Times New Roman" w:cs="Times New Roman"/>
          <w:b/>
          <w:bCs/>
          <w:sz w:val="24"/>
          <w:szCs w:val="24"/>
        </w:rPr>
        <w:t>upplementary Figure</w:t>
      </w:r>
      <w:r>
        <w:rPr>
          <w:rFonts w:ascii="Times New Roman" w:hAnsi="Times New Roman" w:cs="Times New Roman"/>
          <w:b/>
          <w:bCs/>
          <w:sz w:val="24"/>
          <w:szCs w:val="24"/>
        </w:rPr>
        <w:t xml:space="preserve"> and Table legends</w:t>
      </w:r>
    </w:p>
    <w:p w14:paraId="094C596F" w14:textId="6145A95F" w:rsidR="001814F8" w:rsidRPr="001814F8" w:rsidRDefault="001814F8" w:rsidP="001814F8">
      <w:pPr>
        <w:spacing w:line="360" w:lineRule="auto"/>
        <w:rPr>
          <w:rFonts w:ascii="Times New Roman" w:hAnsi="Times New Roman" w:cs="Times New Roman"/>
          <w:bCs/>
          <w:sz w:val="24"/>
          <w:szCs w:val="24"/>
        </w:rPr>
      </w:pPr>
      <w:r w:rsidRPr="001814F8">
        <w:rPr>
          <w:rFonts w:ascii="Times New Roman" w:hAnsi="Times New Roman" w:cs="Times New Roman"/>
          <w:b/>
          <w:sz w:val="24"/>
          <w:szCs w:val="24"/>
        </w:rPr>
        <w:t>S</w:t>
      </w:r>
      <w:r w:rsidRPr="001814F8">
        <w:rPr>
          <w:rFonts w:ascii="Times New Roman" w:hAnsi="Times New Roman" w:cs="Times New Roman"/>
          <w:b/>
          <w:bCs/>
          <w:sz w:val="24"/>
          <w:szCs w:val="24"/>
        </w:rPr>
        <w:t>upplementary Figure 1: APG-1252</w:t>
      </w:r>
      <w:r w:rsidRPr="001814F8">
        <w:rPr>
          <w:rFonts w:ascii="Times New Roman" w:hAnsi="Times New Roman" w:cs="Times New Roman" w:hint="eastAsia"/>
          <w:b/>
          <w:bCs/>
          <w:sz w:val="24"/>
          <w:szCs w:val="24"/>
        </w:rPr>
        <w:t>-M1</w:t>
      </w:r>
      <w:r w:rsidRPr="001814F8">
        <w:rPr>
          <w:rFonts w:ascii="Times New Roman" w:hAnsi="Times New Roman" w:cs="Times New Roman"/>
          <w:b/>
          <w:bCs/>
          <w:sz w:val="24"/>
          <w:szCs w:val="24"/>
        </w:rPr>
        <w:t xml:space="preserve"> and gemcitabine inhibit the proliferation and oncogenic growth of NPC cells synergistically</w:t>
      </w:r>
      <w:r w:rsidRPr="001814F8">
        <w:rPr>
          <w:rFonts w:ascii="Times New Roman" w:hAnsi="Times New Roman" w:cs="Times New Roman"/>
          <w:bCs/>
          <w:sz w:val="24"/>
          <w:szCs w:val="24"/>
        </w:rPr>
        <w:t>. (a-c) Various concentrations of gemcitabine, APG-1252</w:t>
      </w:r>
      <w:r w:rsidRPr="001814F8">
        <w:rPr>
          <w:rFonts w:ascii="Times New Roman" w:hAnsi="Times New Roman" w:cs="Times New Roman" w:hint="eastAsia"/>
          <w:bCs/>
          <w:sz w:val="24"/>
          <w:szCs w:val="24"/>
        </w:rPr>
        <w:t>-M1</w:t>
      </w:r>
      <w:r w:rsidRPr="001814F8">
        <w:rPr>
          <w:rFonts w:ascii="Times New Roman" w:hAnsi="Times New Roman" w:cs="Times New Roman"/>
          <w:bCs/>
          <w:sz w:val="24"/>
          <w:szCs w:val="24"/>
        </w:rPr>
        <w:t xml:space="preserve">, or their combination were used to treat CNE2, </w:t>
      </w:r>
      <w:r w:rsidRPr="001814F8">
        <w:rPr>
          <w:rFonts w:ascii="Times New Roman" w:hAnsi="Times New Roman" w:cs="Times New Roman" w:hint="eastAsia"/>
          <w:bCs/>
          <w:sz w:val="24"/>
          <w:szCs w:val="24"/>
        </w:rPr>
        <w:t>HNE1</w:t>
      </w:r>
      <w:r w:rsidRPr="001814F8">
        <w:rPr>
          <w:rFonts w:ascii="Times New Roman" w:hAnsi="Times New Roman" w:cs="Times New Roman"/>
          <w:bCs/>
          <w:sz w:val="24"/>
          <w:szCs w:val="24"/>
        </w:rPr>
        <w:t xml:space="preserve">, and </w:t>
      </w:r>
      <w:r w:rsidRPr="001814F8">
        <w:rPr>
          <w:rFonts w:ascii="Times New Roman" w:hAnsi="Times New Roman" w:cs="Times New Roman" w:hint="eastAsia"/>
          <w:bCs/>
          <w:sz w:val="24"/>
          <w:szCs w:val="24"/>
        </w:rPr>
        <w:t>TW03</w:t>
      </w:r>
      <w:r w:rsidRPr="001814F8">
        <w:rPr>
          <w:rFonts w:ascii="Times New Roman" w:hAnsi="Times New Roman" w:cs="Times New Roman"/>
          <w:bCs/>
          <w:sz w:val="24"/>
          <w:szCs w:val="24"/>
        </w:rPr>
        <w:t xml:space="preserve"> cells </w:t>
      </w:r>
      <w:r w:rsidRPr="001814F8">
        <w:rPr>
          <w:rFonts w:ascii="Times New Roman" w:hAnsi="Times New Roman" w:cs="Times New Roman" w:hint="eastAsia"/>
          <w:bCs/>
          <w:sz w:val="24"/>
          <w:szCs w:val="24"/>
        </w:rPr>
        <w:t xml:space="preserve">for </w:t>
      </w:r>
      <w:r w:rsidRPr="001814F8">
        <w:rPr>
          <w:rFonts w:ascii="Times New Roman" w:hAnsi="Times New Roman" w:cs="Times New Roman"/>
          <w:bCs/>
          <w:sz w:val="24"/>
          <w:szCs w:val="24"/>
        </w:rPr>
        <w:t>72 h. Histogram and bar chart showing the cell proliferation rate.</w:t>
      </w:r>
    </w:p>
    <w:p w14:paraId="510FB630" w14:textId="77777777" w:rsidR="001814F8" w:rsidRPr="001814F8" w:rsidRDefault="001814F8" w:rsidP="001814F8">
      <w:pPr>
        <w:spacing w:line="360" w:lineRule="auto"/>
        <w:rPr>
          <w:rFonts w:ascii="Times New Roman" w:hAnsi="Times New Roman" w:cs="Times New Roman"/>
          <w:bCs/>
          <w:sz w:val="24"/>
          <w:szCs w:val="24"/>
        </w:rPr>
      </w:pPr>
    </w:p>
    <w:p w14:paraId="62CD387C" w14:textId="77777777" w:rsidR="001814F8" w:rsidRPr="001814F8" w:rsidRDefault="001814F8" w:rsidP="001814F8">
      <w:pPr>
        <w:widowControl/>
        <w:spacing w:line="360" w:lineRule="auto"/>
        <w:jc w:val="left"/>
        <w:rPr>
          <w:rFonts w:ascii="Times New Roman" w:hAnsi="Times New Roman" w:cs="Times New Roman"/>
          <w:bCs/>
          <w:sz w:val="24"/>
          <w:szCs w:val="24"/>
        </w:rPr>
      </w:pPr>
      <w:r w:rsidRPr="001814F8">
        <w:rPr>
          <w:rFonts w:ascii="Times New Roman" w:hAnsi="Times New Roman" w:cs="Times New Roman"/>
          <w:b/>
          <w:bCs/>
          <w:sz w:val="24"/>
          <w:szCs w:val="24"/>
        </w:rPr>
        <w:t>Supplementary Figure 2: APG-1252</w:t>
      </w:r>
      <w:r w:rsidRPr="001814F8">
        <w:rPr>
          <w:rFonts w:ascii="Times New Roman" w:hAnsi="Times New Roman" w:cs="Times New Roman" w:hint="eastAsia"/>
          <w:b/>
          <w:bCs/>
          <w:sz w:val="24"/>
          <w:szCs w:val="24"/>
        </w:rPr>
        <w:t>-M1</w:t>
      </w:r>
      <w:r w:rsidRPr="001814F8">
        <w:rPr>
          <w:rFonts w:ascii="Times New Roman" w:hAnsi="Times New Roman" w:cs="Times New Roman"/>
          <w:b/>
          <w:bCs/>
          <w:sz w:val="24"/>
          <w:szCs w:val="24"/>
        </w:rPr>
        <w:t xml:space="preserve"> and gemcitabine depend on caspase to induce NPC cell apoptosis</w:t>
      </w:r>
      <w:r w:rsidRPr="001814F8">
        <w:rPr>
          <w:rFonts w:ascii="Times New Roman" w:hAnsi="Times New Roman" w:cs="Times New Roman"/>
          <w:bCs/>
          <w:sz w:val="24"/>
          <w:szCs w:val="24"/>
        </w:rPr>
        <w:t>. (</w:t>
      </w:r>
      <w:proofErr w:type="spellStart"/>
      <w:proofErr w:type="gramStart"/>
      <w:r w:rsidRPr="001814F8">
        <w:rPr>
          <w:rFonts w:ascii="Times New Roman" w:hAnsi="Times New Roman" w:cs="Times New Roman"/>
          <w:bCs/>
          <w:sz w:val="24"/>
          <w:szCs w:val="24"/>
        </w:rPr>
        <w:t>a,b</w:t>
      </w:r>
      <w:proofErr w:type="spellEnd"/>
      <w:proofErr w:type="gramEnd"/>
      <w:r w:rsidRPr="001814F8">
        <w:rPr>
          <w:rFonts w:ascii="Times New Roman" w:hAnsi="Times New Roman" w:cs="Times New Roman"/>
          <w:bCs/>
          <w:sz w:val="24"/>
          <w:szCs w:val="24"/>
        </w:rPr>
        <w:t>)</w:t>
      </w:r>
      <w:r w:rsidRPr="001814F8">
        <w:rPr>
          <w:rFonts w:hint="eastAsia"/>
        </w:rPr>
        <w:t xml:space="preserve"> </w:t>
      </w:r>
      <w:bookmarkStart w:id="0" w:name="_Hlk74804860"/>
      <w:r w:rsidRPr="001814F8">
        <w:rPr>
          <w:rFonts w:ascii="Times New Roman" w:hAnsi="Times New Roman" w:cs="Times New Roman"/>
          <w:bCs/>
          <w:sz w:val="24"/>
          <w:szCs w:val="24"/>
        </w:rPr>
        <w:t>Annexin V/PI analysis of TW03 cells following 24 h of exposure to different treatments. The experiment</w:t>
      </w:r>
      <w:r w:rsidRPr="001814F8">
        <w:rPr>
          <w:rFonts w:ascii="Times New Roman" w:hAnsi="Times New Roman" w:cs="Times New Roman" w:hint="eastAsia"/>
          <w:bCs/>
          <w:sz w:val="24"/>
          <w:szCs w:val="24"/>
        </w:rPr>
        <w:t>s</w:t>
      </w:r>
      <w:r w:rsidRPr="001814F8">
        <w:rPr>
          <w:rFonts w:ascii="Times New Roman" w:hAnsi="Times New Roman" w:cs="Times New Roman"/>
          <w:bCs/>
          <w:sz w:val="24"/>
          <w:szCs w:val="24"/>
        </w:rPr>
        <w:t xml:space="preserve"> were conducted in triplicate, and the data are shown as the mean ± SD. * P &lt; 0.05, ** P &lt; 0.01, *** P &lt; 0.001. </w:t>
      </w:r>
      <w:bookmarkEnd w:id="0"/>
      <w:r w:rsidRPr="001814F8">
        <w:rPr>
          <w:rFonts w:ascii="Times New Roman" w:hAnsi="Times New Roman" w:cs="Times New Roman"/>
          <w:bCs/>
          <w:sz w:val="24"/>
          <w:szCs w:val="24"/>
        </w:rPr>
        <w:t>(</w:t>
      </w:r>
      <w:proofErr w:type="spellStart"/>
      <w:proofErr w:type="gramStart"/>
      <w:r w:rsidRPr="001814F8">
        <w:rPr>
          <w:rFonts w:ascii="Times New Roman" w:hAnsi="Times New Roman" w:cs="Times New Roman"/>
          <w:bCs/>
          <w:sz w:val="24"/>
          <w:szCs w:val="24"/>
        </w:rPr>
        <w:t>c,d</w:t>
      </w:r>
      <w:proofErr w:type="spellEnd"/>
      <w:proofErr w:type="gramEnd"/>
      <w:r w:rsidRPr="001814F8">
        <w:rPr>
          <w:rFonts w:ascii="Times New Roman" w:hAnsi="Times New Roman" w:cs="Times New Roman"/>
          <w:bCs/>
          <w:sz w:val="24"/>
          <w:szCs w:val="24"/>
        </w:rPr>
        <w:t>)</w:t>
      </w:r>
      <w:r w:rsidRPr="001814F8">
        <w:rPr>
          <w:rFonts w:hint="eastAsia"/>
        </w:rPr>
        <w:t xml:space="preserve"> </w:t>
      </w:r>
      <w:r w:rsidRPr="001814F8">
        <w:rPr>
          <w:rFonts w:ascii="Times New Roman" w:hAnsi="Times New Roman" w:cs="Times New Roman"/>
          <w:bCs/>
          <w:sz w:val="24"/>
          <w:szCs w:val="24"/>
        </w:rPr>
        <w:t>Western blotting was applied to detect cleaved PARP, cleaved caspase-3, and cleaved caspase-9 levels as indicators of apoptotic cell death. β-tubulin was used as a loading control. * P &lt; 0.05, ** P &lt; 0.01, *** P &lt; 0.001. Error bars indicate the standard deviation of three independently performed experiments. (</w:t>
      </w:r>
      <w:proofErr w:type="spellStart"/>
      <w:proofErr w:type="gramStart"/>
      <w:r w:rsidRPr="001814F8">
        <w:rPr>
          <w:rFonts w:ascii="Times New Roman" w:hAnsi="Times New Roman" w:cs="Times New Roman"/>
          <w:bCs/>
          <w:sz w:val="24"/>
          <w:szCs w:val="24"/>
        </w:rPr>
        <w:t>e,f</w:t>
      </w:r>
      <w:proofErr w:type="spellEnd"/>
      <w:proofErr w:type="gramEnd"/>
      <w:r w:rsidRPr="001814F8">
        <w:rPr>
          <w:rFonts w:ascii="Times New Roman" w:hAnsi="Times New Roman" w:cs="Times New Roman"/>
          <w:bCs/>
          <w:sz w:val="24"/>
          <w:szCs w:val="24"/>
        </w:rPr>
        <w:t>)</w:t>
      </w:r>
      <w:r w:rsidRPr="001814F8">
        <w:rPr>
          <w:rFonts w:hint="eastAsia"/>
        </w:rPr>
        <w:t xml:space="preserve"> </w:t>
      </w:r>
      <w:r w:rsidRPr="001814F8">
        <w:rPr>
          <w:rFonts w:ascii="Times New Roman" w:hAnsi="Times New Roman" w:cs="Times New Roman"/>
          <w:bCs/>
          <w:sz w:val="24"/>
          <w:szCs w:val="24"/>
        </w:rPr>
        <w:t>Annexin V/PI analysis of TW03 cells following 24 h of exposure to different treatments (g-j)</w:t>
      </w:r>
      <w:r w:rsidRPr="001814F8">
        <w:rPr>
          <w:rFonts w:hint="eastAsia"/>
        </w:rPr>
        <w:t xml:space="preserve"> </w:t>
      </w:r>
      <w:r w:rsidRPr="001814F8">
        <w:rPr>
          <w:rFonts w:ascii="Times New Roman" w:hAnsi="Times New Roman" w:cs="Times New Roman"/>
          <w:bCs/>
          <w:sz w:val="24"/>
          <w:szCs w:val="24"/>
        </w:rPr>
        <w:t>Colony formation analysis of NPC cells that were treated with gemcitabine, APG-1252-M1</w:t>
      </w:r>
      <w:r w:rsidRPr="001814F8">
        <w:rPr>
          <w:rFonts w:ascii="Times New Roman" w:hAnsi="Times New Roman" w:cs="Times New Roman" w:hint="eastAsia"/>
          <w:bCs/>
          <w:sz w:val="24"/>
          <w:szCs w:val="24"/>
        </w:rPr>
        <w:t>, the drug combination</w:t>
      </w:r>
      <w:r w:rsidRPr="001814F8">
        <w:rPr>
          <w:rFonts w:ascii="Times New Roman" w:hAnsi="Times New Roman" w:cs="Times New Roman"/>
          <w:bCs/>
          <w:sz w:val="24"/>
          <w:szCs w:val="24"/>
        </w:rPr>
        <w:t xml:space="preserve"> with or without z</w:t>
      </w:r>
      <w:r w:rsidRPr="001814F8">
        <w:rPr>
          <w:rFonts w:ascii="Calibri" w:eastAsia="Calibri" w:hAnsi="Calibri" w:cs="Calibri"/>
          <w:bCs/>
          <w:sz w:val="24"/>
          <w:szCs w:val="24"/>
        </w:rPr>
        <w:t>‐</w:t>
      </w:r>
      <w:r w:rsidRPr="001814F8">
        <w:rPr>
          <w:rFonts w:ascii="Times New Roman" w:hAnsi="Times New Roman" w:cs="Times New Roman"/>
          <w:bCs/>
          <w:sz w:val="24"/>
          <w:szCs w:val="24"/>
        </w:rPr>
        <w:t>VAD</w:t>
      </w:r>
      <w:r w:rsidRPr="001814F8">
        <w:rPr>
          <w:rFonts w:ascii="Calibri" w:eastAsia="Calibri" w:hAnsi="Calibri" w:cs="Calibri"/>
          <w:bCs/>
          <w:sz w:val="24"/>
          <w:szCs w:val="24"/>
        </w:rPr>
        <w:t>‐</w:t>
      </w:r>
      <w:proofErr w:type="spellStart"/>
      <w:r w:rsidRPr="001814F8">
        <w:rPr>
          <w:rFonts w:ascii="Times New Roman" w:hAnsi="Times New Roman" w:cs="Times New Roman"/>
          <w:bCs/>
          <w:sz w:val="24"/>
          <w:szCs w:val="24"/>
        </w:rPr>
        <w:t>f</w:t>
      </w:r>
      <w:r w:rsidRPr="001814F8">
        <w:rPr>
          <w:rFonts w:ascii="Times New Roman" w:hAnsi="Times New Roman" w:cs="Times New Roman" w:hint="eastAsia"/>
          <w:bCs/>
          <w:sz w:val="24"/>
          <w:szCs w:val="24"/>
        </w:rPr>
        <w:t>mk</w:t>
      </w:r>
      <w:proofErr w:type="spellEnd"/>
      <w:r w:rsidRPr="001814F8">
        <w:rPr>
          <w:rFonts w:ascii="Times New Roman" w:hAnsi="Times New Roman" w:cs="Times New Roman"/>
          <w:bCs/>
          <w:sz w:val="24"/>
          <w:szCs w:val="24"/>
        </w:rPr>
        <w:t xml:space="preserve"> (14 d after cells plating). The number of colonies stained by crystal violet was used to determine the anti-proliferative effects. The results shown are representative of three independent experiments. All data are presented as the mean ± SD. * P &lt; 0.05, ** P &lt; 0.01, *** P &lt; 0.001. </w:t>
      </w:r>
    </w:p>
    <w:p w14:paraId="75FCE035" w14:textId="77777777" w:rsidR="001814F8" w:rsidRPr="001814F8" w:rsidRDefault="001814F8" w:rsidP="001814F8">
      <w:pPr>
        <w:widowControl/>
        <w:spacing w:line="360" w:lineRule="auto"/>
        <w:jc w:val="left"/>
        <w:rPr>
          <w:rFonts w:ascii="Times New Roman" w:hAnsi="Times New Roman" w:cs="Times New Roman"/>
          <w:bCs/>
          <w:sz w:val="24"/>
          <w:szCs w:val="24"/>
        </w:rPr>
      </w:pPr>
    </w:p>
    <w:p w14:paraId="0132586E" w14:textId="77777777" w:rsidR="001814F8" w:rsidRPr="001814F8" w:rsidRDefault="001814F8" w:rsidP="001814F8">
      <w:pPr>
        <w:widowControl/>
        <w:spacing w:line="360" w:lineRule="auto"/>
        <w:jc w:val="left"/>
        <w:rPr>
          <w:rFonts w:ascii="Times New Roman" w:hAnsi="Times New Roman" w:cs="Times New Roman"/>
          <w:bCs/>
          <w:sz w:val="24"/>
          <w:szCs w:val="24"/>
        </w:rPr>
      </w:pPr>
      <w:r w:rsidRPr="001814F8">
        <w:rPr>
          <w:rFonts w:ascii="Times New Roman" w:hAnsi="Times New Roman" w:cs="Times New Roman"/>
          <w:b/>
          <w:bCs/>
          <w:sz w:val="24"/>
          <w:szCs w:val="24"/>
        </w:rPr>
        <w:t>Supplementary Figure 3: APG-1252</w:t>
      </w:r>
      <w:r w:rsidRPr="001814F8">
        <w:rPr>
          <w:rFonts w:ascii="Times New Roman" w:hAnsi="Times New Roman" w:cs="Times New Roman" w:hint="eastAsia"/>
          <w:b/>
          <w:bCs/>
          <w:sz w:val="24"/>
          <w:szCs w:val="24"/>
        </w:rPr>
        <w:t>-M1</w:t>
      </w:r>
      <w:r w:rsidRPr="001814F8">
        <w:rPr>
          <w:rFonts w:ascii="Times New Roman" w:hAnsi="Times New Roman" w:cs="Times New Roman"/>
          <w:b/>
          <w:bCs/>
          <w:sz w:val="24"/>
          <w:szCs w:val="24"/>
        </w:rPr>
        <w:t xml:space="preserve"> and gemcitabine suppress the biological processes of NPC such as cell migration, invasion, and EMT.</w:t>
      </w:r>
      <w:r w:rsidRPr="001814F8">
        <w:rPr>
          <w:rFonts w:ascii="Times New Roman" w:hAnsi="Times New Roman" w:cs="Times New Roman"/>
          <w:bCs/>
          <w:sz w:val="24"/>
          <w:szCs w:val="24"/>
        </w:rPr>
        <w:t xml:space="preserve"> (a) TW03 cells were exposed to different treatments for 24–48 h, including APG-1252</w:t>
      </w:r>
      <w:r w:rsidRPr="001814F8">
        <w:rPr>
          <w:rFonts w:ascii="Times New Roman" w:hAnsi="Times New Roman" w:cs="Times New Roman" w:hint="eastAsia"/>
          <w:bCs/>
          <w:sz w:val="24"/>
          <w:szCs w:val="24"/>
        </w:rPr>
        <w:t>-M1</w:t>
      </w:r>
      <w:r w:rsidRPr="001814F8">
        <w:rPr>
          <w:rFonts w:ascii="Times New Roman" w:hAnsi="Times New Roman" w:cs="Times New Roman"/>
          <w:bCs/>
          <w:sz w:val="24"/>
          <w:szCs w:val="24"/>
        </w:rPr>
        <w:t xml:space="preserve">, gemcitabine, or in their combination. To evaluate the NPC cells’ migratory ability, </w:t>
      </w:r>
      <w:proofErr w:type="spellStart"/>
      <w:r w:rsidRPr="001814F8">
        <w:rPr>
          <w:rFonts w:ascii="Times New Roman" w:hAnsi="Times New Roman" w:cs="Times New Roman"/>
          <w:bCs/>
          <w:sz w:val="24"/>
          <w:szCs w:val="24"/>
        </w:rPr>
        <w:t>Transwell</w:t>
      </w:r>
      <w:proofErr w:type="spellEnd"/>
      <w:r w:rsidRPr="001814F8">
        <w:rPr>
          <w:rFonts w:ascii="Times New Roman" w:hAnsi="Times New Roman" w:cs="Times New Roman"/>
          <w:bCs/>
          <w:sz w:val="24"/>
          <w:szCs w:val="24"/>
        </w:rPr>
        <w:t xml:space="preserve"> migration assays were carried out. The experiments were conducted in triplicate, and all data are presented as the mean ± SD. * P &lt; 0.05, ** P &lt; 0.01, *** P &lt; 0.001. (b) TW03 cells were exposed to different treatments for 24–48 h, including APG-1252</w:t>
      </w:r>
      <w:r w:rsidRPr="001814F8">
        <w:rPr>
          <w:rFonts w:ascii="Times New Roman" w:hAnsi="Times New Roman" w:cs="Times New Roman" w:hint="eastAsia"/>
          <w:bCs/>
          <w:sz w:val="24"/>
          <w:szCs w:val="24"/>
        </w:rPr>
        <w:t>-M1</w:t>
      </w:r>
      <w:r w:rsidRPr="001814F8">
        <w:rPr>
          <w:rFonts w:ascii="Times New Roman" w:hAnsi="Times New Roman" w:cs="Times New Roman"/>
          <w:bCs/>
          <w:sz w:val="24"/>
          <w:szCs w:val="24"/>
        </w:rPr>
        <w:t xml:space="preserve">, gemcitabine, or their combination. To evaluate the NPC cells’ invasive ability, </w:t>
      </w:r>
      <w:proofErr w:type="spellStart"/>
      <w:r w:rsidRPr="001814F8">
        <w:rPr>
          <w:rFonts w:ascii="Times New Roman" w:hAnsi="Times New Roman" w:cs="Times New Roman"/>
          <w:bCs/>
          <w:sz w:val="24"/>
          <w:szCs w:val="24"/>
        </w:rPr>
        <w:lastRenderedPageBreak/>
        <w:t>Transwell</w:t>
      </w:r>
      <w:proofErr w:type="spellEnd"/>
      <w:r w:rsidRPr="001814F8">
        <w:rPr>
          <w:rFonts w:ascii="Times New Roman" w:hAnsi="Times New Roman" w:cs="Times New Roman"/>
          <w:bCs/>
          <w:sz w:val="24"/>
          <w:szCs w:val="24"/>
        </w:rPr>
        <w:t xml:space="preserve"> invasion assays were carried out. The experiments were performed three times independently, and the data are shown as mean ± SD. * P &lt; 0.05, ** P &lt; 0.01, *** P &lt; 0.001. (c) TW03 cells were exposed to different treatments for 24–48 h, including APG-1252</w:t>
      </w:r>
      <w:r w:rsidRPr="001814F8">
        <w:rPr>
          <w:rFonts w:ascii="Times New Roman" w:hAnsi="Times New Roman" w:cs="Times New Roman" w:hint="eastAsia"/>
          <w:bCs/>
          <w:sz w:val="24"/>
          <w:szCs w:val="24"/>
        </w:rPr>
        <w:t>-M1</w:t>
      </w:r>
      <w:r w:rsidRPr="001814F8">
        <w:rPr>
          <w:rFonts w:ascii="Times New Roman" w:hAnsi="Times New Roman" w:cs="Times New Roman"/>
          <w:bCs/>
          <w:sz w:val="24"/>
          <w:szCs w:val="24"/>
        </w:rPr>
        <w:t xml:space="preserve">, gemcitabine, or their combination. Western blotting was applied to examine the expression of EMT markers (E-cadherin, N-cadherin, β-catenin, ZEB1, Vimentin and Snail). β-tubulin was used as a loading control. * P &lt; 0.05, ** P &lt; 0.01, *** P &lt; 0.001. Error bars indicate the standard deviation of three independently performed experiments. </w:t>
      </w:r>
    </w:p>
    <w:p w14:paraId="03771B27" w14:textId="77777777" w:rsidR="001814F8" w:rsidRPr="001814F8" w:rsidRDefault="001814F8" w:rsidP="001814F8">
      <w:pPr>
        <w:widowControl/>
        <w:spacing w:line="360" w:lineRule="auto"/>
        <w:jc w:val="left"/>
        <w:rPr>
          <w:rFonts w:ascii="Times New Roman" w:hAnsi="Times New Roman" w:cs="Times New Roman"/>
          <w:bCs/>
          <w:sz w:val="24"/>
          <w:szCs w:val="24"/>
        </w:rPr>
      </w:pPr>
    </w:p>
    <w:p w14:paraId="0B595A93" w14:textId="77777777" w:rsidR="001814F8" w:rsidRPr="001814F8" w:rsidRDefault="001814F8" w:rsidP="001814F8">
      <w:pPr>
        <w:widowControl/>
        <w:spacing w:line="360" w:lineRule="auto"/>
        <w:jc w:val="left"/>
        <w:rPr>
          <w:rFonts w:ascii="Times New Roman" w:hAnsi="Times New Roman" w:cs="Times New Roman"/>
          <w:bCs/>
          <w:sz w:val="24"/>
          <w:szCs w:val="24"/>
        </w:rPr>
      </w:pPr>
      <w:r w:rsidRPr="001814F8">
        <w:rPr>
          <w:rFonts w:ascii="Times New Roman" w:hAnsi="Times New Roman" w:cs="Times New Roman"/>
          <w:b/>
          <w:bCs/>
          <w:sz w:val="24"/>
          <w:szCs w:val="24"/>
        </w:rPr>
        <w:t>Supplementary Figure 4: APG-1252 and gemcitabine potently inhibit in vivo NPC tumor growth.</w:t>
      </w:r>
      <w:r w:rsidRPr="001814F8">
        <w:rPr>
          <w:rFonts w:ascii="Times New Roman" w:hAnsi="Times New Roman" w:cs="Times New Roman"/>
          <w:bCs/>
          <w:sz w:val="24"/>
          <w:szCs w:val="24"/>
        </w:rPr>
        <w:t xml:space="preserve"> (</w:t>
      </w:r>
      <w:proofErr w:type="spellStart"/>
      <w:proofErr w:type="gramStart"/>
      <w:r w:rsidRPr="001814F8">
        <w:rPr>
          <w:rFonts w:ascii="Times New Roman" w:hAnsi="Times New Roman" w:cs="Times New Roman"/>
          <w:bCs/>
          <w:sz w:val="24"/>
          <w:szCs w:val="24"/>
        </w:rPr>
        <w:t>a,b</w:t>
      </w:r>
      <w:proofErr w:type="spellEnd"/>
      <w:proofErr w:type="gramEnd"/>
      <w:r w:rsidRPr="001814F8">
        <w:rPr>
          <w:rFonts w:ascii="Times New Roman" w:hAnsi="Times New Roman" w:cs="Times New Roman"/>
          <w:bCs/>
          <w:sz w:val="24"/>
          <w:szCs w:val="24"/>
        </w:rPr>
        <w:t>) The body weight of the CNE2 and HNE1 xenograft mice in different groups was recorded. Data are shown as the mean ± SD. (</w:t>
      </w:r>
      <w:r w:rsidRPr="001814F8">
        <w:rPr>
          <w:rFonts w:ascii="Times New Roman" w:hAnsi="Times New Roman" w:cs="Times New Roman" w:hint="eastAsia"/>
          <w:bCs/>
          <w:sz w:val="24"/>
          <w:szCs w:val="24"/>
        </w:rPr>
        <w:t>c</w:t>
      </w:r>
      <w:r w:rsidRPr="001814F8">
        <w:rPr>
          <w:rFonts w:ascii="Times New Roman" w:hAnsi="Times New Roman" w:cs="Times New Roman"/>
          <w:bCs/>
          <w:sz w:val="24"/>
          <w:szCs w:val="24"/>
        </w:rPr>
        <w:t xml:space="preserve">) HE staining for brain, heart, lung, stomach, gut, liver, kidney, spleen was carried out in the indicated mice </w:t>
      </w:r>
      <w:r w:rsidRPr="001814F8">
        <w:rPr>
          <w:rFonts w:ascii="Times New Roman" w:hAnsi="Times New Roman" w:cs="Times New Roman" w:hint="eastAsia"/>
          <w:bCs/>
          <w:sz w:val="24"/>
          <w:szCs w:val="24"/>
        </w:rPr>
        <w:t>treated with</w:t>
      </w:r>
      <w:r w:rsidRPr="001814F8">
        <w:rPr>
          <w:rFonts w:ascii="Times New Roman" w:hAnsi="Times New Roman" w:cs="Times New Roman"/>
          <w:bCs/>
          <w:sz w:val="24"/>
          <w:szCs w:val="24"/>
        </w:rPr>
        <w:t xml:space="preserve"> APG-1252 and gemcitabine, alone or in combination. </w:t>
      </w:r>
    </w:p>
    <w:p w14:paraId="7DF4693C" w14:textId="77777777" w:rsidR="001814F8" w:rsidRPr="001814F8" w:rsidRDefault="001814F8" w:rsidP="001814F8">
      <w:pPr>
        <w:widowControl/>
        <w:spacing w:line="360" w:lineRule="auto"/>
        <w:jc w:val="left"/>
        <w:rPr>
          <w:rFonts w:ascii="Times New Roman" w:hAnsi="Times New Roman" w:cs="Times New Roman"/>
          <w:bCs/>
          <w:sz w:val="24"/>
          <w:szCs w:val="24"/>
        </w:rPr>
      </w:pPr>
    </w:p>
    <w:p w14:paraId="24762DB2" w14:textId="77777777" w:rsidR="001814F8" w:rsidRPr="001814F8" w:rsidRDefault="001814F8" w:rsidP="001814F8">
      <w:pPr>
        <w:widowControl/>
        <w:spacing w:line="360" w:lineRule="auto"/>
        <w:jc w:val="left"/>
        <w:rPr>
          <w:rFonts w:ascii="Times New Roman" w:hAnsi="Times New Roman" w:cs="Times New Roman"/>
          <w:bCs/>
          <w:sz w:val="24"/>
          <w:szCs w:val="24"/>
        </w:rPr>
      </w:pPr>
      <w:r w:rsidRPr="001814F8">
        <w:rPr>
          <w:rFonts w:ascii="Times New Roman" w:hAnsi="Times New Roman" w:cs="Times New Roman"/>
          <w:b/>
          <w:bCs/>
          <w:sz w:val="24"/>
          <w:szCs w:val="24"/>
        </w:rPr>
        <w:t>Supplementary Figure 5: APG-1252</w:t>
      </w:r>
      <w:r w:rsidRPr="001814F8">
        <w:rPr>
          <w:rFonts w:ascii="Times New Roman" w:hAnsi="Times New Roman" w:cs="Times New Roman" w:hint="eastAsia"/>
          <w:b/>
          <w:bCs/>
          <w:sz w:val="24"/>
          <w:szCs w:val="24"/>
        </w:rPr>
        <w:t>-M1</w:t>
      </w:r>
      <w:r w:rsidRPr="001814F8">
        <w:rPr>
          <w:rFonts w:ascii="Times New Roman" w:hAnsi="Times New Roman" w:cs="Times New Roman"/>
          <w:b/>
          <w:bCs/>
          <w:sz w:val="24"/>
          <w:szCs w:val="24"/>
        </w:rPr>
        <w:t xml:space="preserve"> and gemcitabine exhibit a synergistic anti-tumor effect via inhibiting the JAK2/p-STAT3/MCL-1 signaling pathway</w:t>
      </w:r>
      <w:r w:rsidRPr="001814F8">
        <w:rPr>
          <w:rFonts w:ascii="Times New Roman" w:hAnsi="Times New Roman" w:cs="Times New Roman"/>
          <w:bCs/>
          <w:sz w:val="24"/>
          <w:szCs w:val="24"/>
        </w:rPr>
        <w:t xml:space="preserve">. (a) Western blotting analysis of the levels of BCL-2, BCL-XL, XIAP, BAK </w:t>
      </w:r>
      <w:r w:rsidRPr="001814F8">
        <w:rPr>
          <w:rFonts w:ascii="Times New Roman" w:hAnsi="Times New Roman" w:cs="Times New Roman" w:hint="eastAsia"/>
          <w:bCs/>
          <w:sz w:val="24"/>
          <w:szCs w:val="24"/>
        </w:rPr>
        <w:t>and</w:t>
      </w:r>
      <w:r w:rsidRPr="001814F8">
        <w:rPr>
          <w:rFonts w:ascii="Times New Roman" w:hAnsi="Times New Roman" w:cs="Times New Roman"/>
          <w:bCs/>
          <w:sz w:val="24"/>
          <w:szCs w:val="24"/>
        </w:rPr>
        <w:t xml:space="preserve"> BAD in the indicated TW03 cells. The loading control was β-tubulin. * P &lt; 0.05, ** P &lt; 0.01, *** P &lt; 0.001. Error bars indicate the standard deviation of three independently performed experiments. (b) Western blotting analysis of the levels of </w:t>
      </w:r>
      <w:proofErr w:type="spellStart"/>
      <w:r w:rsidRPr="001814F8">
        <w:rPr>
          <w:rFonts w:ascii="Times New Roman" w:hAnsi="Times New Roman" w:cs="Times New Roman"/>
          <w:bCs/>
          <w:sz w:val="24"/>
          <w:szCs w:val="24"/>
        </w:rPr>
        <w:t>p</w:t>
      </w:r>
      <w:r w:rsidRPr="001814F8">
        <w:rPr>
          <w:rFonts w:ascii="Times New Roman" w:hAnsi="Times New Roman" w:cs="Times New Roman" w:hint="eastAsia"/>
          <w:bCs/>
          <w:sz w:val="24"/>
          <w:szCs w:val="24"/>
        </w:rPr>
        <w:t>-</w:t>
      </w:r>
      <w:r w:rsidRPr="001814F8">
        <w:rPr>
          <w:rFonts w:ascii="Times New Roman" w:hAnsi="Times New Roman" w:cs="Times New Roman"/>
          <w:bCs/>
          <w:sz w:val="24"/>
          <w:szCs w:val="24"/>
        </w:rPr>
        <w:t>FYN+p-YES</w:t>
      </w:r>
      <w:proofErr w:type="spellEnd"/>
      <w:r w:rsidRPr="001814F8">
        <w:rPr>
          <w:rFonts w:ascii="Times New Roman" w:hAnsi="Times New Roman" w:cs="Times New Roman"/>
          <w:bCs/>
          <w:sz w:val="24"/>
          <w:szCs w:val="24"/>
        </w:rPr>
        <w:t xml:space="preserve"> and YES in the indicated CNE2, HNE1 and TW03 cells. The loading control was β-tubulin. (</w:t>
      </w:r>
      <w:proofErr w:type="spellStart"/>
      <w:proofErr w:type="gramStart"/>
      <w:r w:rsidRPr="001814F8">
        <w:rPr>
          <w:rFonts w:ascii="Times New Roman" w:hAnsi="Times New Roman" w:cs="Times New Roman"/>
          <w:bCs/>
          <w:sz w:val="24"/>
          <w:szCs w:val="24"/>
        </w:rPr>
        <w:t>c,d</w:t>
      </w:r>
      <w:proofErr w:type="spellEnd"/>
      <w:proofErr w:type="gramEnd"/>
      <w:r w:rsidRPr="001814F8">
        <w:rPr>
          <w:rFonts w:ascii="Times New Roman" w:hAnsi="Times New Roman" w:cs="Times New Roman"/>
          <w:bCs/>
          <w:sz w:val="24"/>
          <w:szCs w:val="24"/>
        </w:rPr>
        <w:t xml:space="preserve">) Western blotting analysis of the levels of p-JAK2, JAK2, p-STAT3(Y705), STAT3, and MCL-1 in the indicated TW03 cells. The loading control was β-tubulin. * P &lt; 0.05, ** P &lt; 0.01, *** P &lt; 0.001. Error bars indicate the standard deviation of three independently performed experiments. * P &lt; 0.05, ** P &lt; 0.01, *** P &lt; 0.001. Error bars represent the SD of three independent experiments. (e) Western blotting assessment of the abundances of BAD in the indicated CNE2, HNE1 and TW03 cells transfected with </w:t>
      </w:r>
      <w:r w:rsidRPr="001814F8">
        <w:rPr>
          <w:rFonts w:ascii="Times New Roman" w:hAnsi="Times New Roman" w:cs="Times New Roman" w:hint="eastAsia"/>
          <w:bCs/>
          <w:i/>
          <w:iCs/>
          <w:sz w:val="24"/>
          <w:szCs w:val="24"/>
        </w:rPr>
        <w:t>BAD</w:t>
      </w:r>
      <w:r w:rsidRPr="001814F8">
        <w:rPr>
          <w:rFonts w:ascii="Times New Roman" w:hAnsi="Times New Roman" w:cs="Times New Roman"/>
          <w:bCs/>
          <w:sz w:val="24"/>
          <w:szCs w:val="24"/>
        </w:rPr>
        <w:t xml:space="preserve"> </w:t>
      </w:r>
      <w:proofErr w:type="spellStart"/>
      <w:r w:rsidRPr="001814F8">
        <w:rPr>
          <w:rFonts w:ascii="Times New Roman" w:hAnsi="Times New Roman" w:cs="Times New Roman"/>
          <w:bCs/>
          <w:sz w:val="24"/>
          <w:szCs w:val="24"/>
        </w:rPr>
        <w:t>shRNA</w:t>
      </w:r>
      <w:r w:rsidRPr="001814F8">
        <w:rPr>
          <w:rFonts w:ascii="Times New Roman" w:hAnsi="Times New Roman" w:cs="Times New Roman" w:hint="eastAsia"/>
          <w:bCs/>
          <w:sz w:val="24"/>
          <w:szCs w:val="24"/>
        </w:rPr>
        <w:t>s</w:t>
      </w:r>
      <w:proofErr w:type="spellEnd"/>
      <w:r w:rsidRPr="001814F8">
        <w:rPr>
          <w:rFonts w:ascii="Times New Roman" w:hAnsi="Times New Roman" w:cs="Times New Roman"/>
          <w:bCs/>
          <w:sz w:val="24"/>
          <w:szCs w:val="24"/>
        </w:rPr>
        <w:t xml:space="preserve"> and scrambled control. The loading control was </w:t>
      </w:r>
      <w:r w:rsidRPr="001814F8">
        <w:rPr>
          <w:rFonts w:ascii="Times New Roman" w:hAnsi="Times New Roman" w:cs="Times New Roman" w:hint="eastAsia"/>
          <w:bCs/>
          <w:sz w:val="24"/>
          <w:szCs w:val="24"/>
        </w:rPr>
        <w:t>GAPDH</w:t>
      </w:r>
      <w:r w:rsidRPr="001814F8">
        <w:rPr>
          <w:rFonts w:ascii="Times New Roman" w:hAnsi="Times New Roman" w:cs="Times New Roman"/>
          <w:bCs/>
          <w:sz w:val="24"/>
          <w:szCs w:val="24"/>
        </w:rPr>
        <w:t xml:space="preserve">. (f) </w:t>
      </w:r>
      <w:proofErr w:type="spellStart"/>
      <w:r w:rsidRPr="001814F8">
        <w:rPr>
          <w:rFonts w:ascii="Times New Roman" w:hAnsi="Times New Roman" w:cs="Times New Roman"/>
          <w:bCs/>
          <w:sz w:val="24"/>
          <w:szCs w:val="24"/>
        </w:rPr>
        <w:t>qRT</w:t>
      </w:r>
      <w:proofErr w:type="spellEnd"/>
      <w:r w:rsidRPr="001814F8">
        <w:rPr>
          <w:rFonts w:ascii="Times New Roman" w:hAnsi="Times New Roman" w:cs="Times New Roman"/>
          <w:bCs/>
          <w:sz w:val="24"/>
          <w:szCs w:val="24"/>
        </w:rPr>
        <w:t>-PCR assessment of the mRNA levels of</w:t>
      </w:r>
      <w:r w:rsidRPr="001814F8">
        <w:rPr>
          <w:rFonts w:ascii="Times New Roman" w:hAnsi="Times New Roman" w:cs="Times New Roman"/>
          <w:bCs/>
          <w:i/>
          <w:iCs/>
          <w:sz w:val="24"/>
          <w:szCs w:val="24"/>
        </w:rPr>
        <w:t xml:space="preserve"> BAD</w:t>
      </w:r>
      <w:r w:rsidRPr="001814F8">
        <w:rPr>
          <w:rFonts w:ascii="Times New Roman" w:hAnsi="Times New Roman" w:cs="Times New Roman"/>
          <w:bCs/>
          <w:sz w:val="24"/>
          <w:szCs w:val="24"/>
        </w:rPr>
        <w:t xml:space="preserve"> in the </w:t>
      </w:r>
      <w:r w:rsidRPr="001814F8">
        <w:rPr>
          <w:rFonts w:ascii="Times New Roman" w:hAnsi="Times New Roman" w:cs="Times New Roman"/>
          <w:bCs/>
          <w:sz w:val="24"/>
          <w:szCs w:val="24"/>
        </w:rPr>
        <w:lastRenderedPageBreak/>
        <w:t>indicated CNE2, HNE1, and TW03 cells transfected with the</w:t>
      </w:r>
      <w:r w:rsidRPr="001814F8">
        <w:rPr>
          <w:rFonts w:ascii="Times New Roman" w:hAnsi="Times New Roman" w:cs="Times New Roman"/>
          <w:bCs/>
          <w:i/>
          <w:iCs/>
          <w:sz w:val="24"/>
          <w:szCs w:val="24"/>
        </w:rPr>
        <w:t xml:space="preserve"> BAD </w:t>
      </w:r>
      <w:proofErr w:type="spellStart"/>
      <w:r w:rsidRPr="001814F8">
        <w:rPr>
          <w:rFonts w:ascii="Times New Roman" w:hAnsi="Times New Roman" w:cs="Times New Roman"/>
          <w:bCs/>
          <w:sz w:val="24"/>
          <w:szCs w:val="24"/>
        </w:rPr>
        <w:t>shRNA</w:t>
      </w:r>
      <w:r w:rsidRPr="001814F8">
        <w:rPr>
          <w:rFonts w:ascii="Times New Roman" w:hAnsi="Times New Roman" w:cs="Times New Roman" w:hint="eastAsia"/>
          <w:bCs/>
          <w:sz w:val="24"/>
          <w:szCs w:val="24"/>
        </w:rPr>
        <w:t>s</w:t>
      </w:r>
      <w:proofErr w:type="spellEnd"/>
      <w:r w:rsidRPr="001814F8">
        <w:rPr>
          <w:rFonts w:ascii="Times New Roman" w:hAnsi="Times New Roman" w:cs="Times New Roman"/>
          <w:bCs/>
          <w:sz w:val="24"/>
          <w:szCs w:val="24"/>
        </w:rPr>
        <w:t xml:space="preserve"> and scrambled control. The loading control was </w:t>
      </w:r>
      <w:r w:rsidRPr="001814F8">
        <w:rPr>
          <w:rFonts w:ascii="Times New Roman" w:hAnsi="Times New Roman" w:cs="Times New Roman"/>
          <w:bCs/>
          <w:i/>
          <w:sz w:val="24"/>
          <w:szCs w:val="24"/>
        </w:rPr>
        <w:t>GAPDH</w:t>
      </w:r>
      <w:r w:rsidRPr="001814F8">
        <w:rPr>
          <w:rFonts w:ascii="Times New Roman" w:hAnsi="Times New Roman" w:cs="Times New Roman"/>
          <w:bCs/>
          <w:sz w:val="24"/>
          <w:szCs w:val="24"/>
        </w:rPr>
        <w:t>. (</w:t>
      </w:r>
      <w:proofErr w:type="spellStart"/>
      <w:proofErr w:type="gramStart"/>
      <w:r w:rsidRPr="001814F8">
        <w:rPr>
          <w:rFonts w:ascii="Times New Roman" w:hAnsi="Times New Roman" w:cs="Times New Roman"/>
          <w:bCs/>
          <w:sz w:val="24"/>
          <w:szCs w:val="24"/>
        </w:rPr>
        <w:t>g,h</w:t>
      </w:r>
      <w:proofErr w:type="spellEnd"/>
      <w:proofErr w:type="gramEnd"/>
      <w:r w:rsidRPr="001814F8">
        <w:rPr>
          <w:rFonts w:ascii="Times New Roman" w:hAnsi="Times New Roman" w:cs="Times New Roman"/>
          <w:bCs/>
          <w:sz w:val="24"/>
          <w:szCs w:val="24"/>
        </w:rPr>
        <w:t xml:space="preserve">) Annexin V/PI analysis of CNE2, HNE1 and TW03 cells and </w:t>
      </w:r>
      <w:proofErr w:type="spellStart"/>
      <w:r w:rsidRPr="001814F8">
        <w:rPr>
          <w:rFonts w:ascii="Times New Roman" w:hAnsi="Times New Roman" w:cs="Times New Roman"/>
          <w:bCs/>
          <w:sz w:val="24"/>
          <w:szCs w:val="24"/>
        </w:rPr>
        <w:t>shBAD</w:t>
      </w:r>
      <w:proofErr w:type="spellEnd"/>
      <w:r w:rsidRPr="001814F8">
        <w:rPr>
          <w:rFonts w:ascii="Times New Roman" w:hAnsi="Times New Roman" w:cs="Times New Roman"/>
          <w:bCs/>
          <w:sz w:val="24"/>
          <w:szCs w:val="24"/>
        </w:rPr>
        <w:t xml:space="preserve"> cells following 24 h of exposure to different treatments. The experiment</w:t>
      </w:r>
      <w:r w:rsidRPr="001814F8">
        <w:rPr>
          <w:rFonts w:ascii="Times New Roman" w:hAnsi="Times New Roman" w:cs="Times New Roman" w:hint="eastAsia"/>
          <w:bCs/>
          <w:sz w:val="24"/>
          <w:szCs w:val="24"/>
        </w:rPr>
        <w:t>s</w:t>
      </w:r>
      <w:r w:rsidRPr="001814F8">
        <w:rPr>
          <w:rFonts w:ascii="Times New Roman" w:hAnsi="Times New Roman" w:cs="Times New Roman"/>
          <w:bCs/>
          <w:sz w:val="24"/>
          <w:szCs w:val="24"/>
        </w:rPr>
        <w:t xml:space="preserve"> were conducted in triplicate, and the data are shown as the mean ± SD. * P &lt; 0.05, ** P &lt; 0.01, *** P &lt; 0.001.</w:t>
      </w:r>
    </w:p>
    <w:p w14:paraId="64C3DE4D" w14:textId="77777777" w:rsidR="001814F8" w:rsidRPr="001814F8" w:rsidRDefault="001814F8" w:rsidP="001814F8">
      <w:pPr>
        <w:widowControl/>
        <w:spacing w:line="360" w:lineRule="auto"/>
        <w:jc w:val="left"/>
        <w:rPr>
          <w:rFonts w:ascii="Times New Roman" w:hAnsi="Times New Roman" w:cs="Times New Roman"/>
          <w:bCs/>
          <w:sz w:val="24"/>
          <w:szCs w:val="24"/>
        </w:rPr>
      </w:pPr>
    </w:p>
    <w:p w14:paraId="2DBB5D93" w14:textId="67B180FD" w:rsidR="00654D79" w:rsidRDefault="001814F8" w:rsidP="001814F8">
      <w:pPr>
        <w:widowControl/>
        <w:spacing w:line="360" w:lineRule="auto"/>
        <w:jc w:val="left"/>
        <w:rPr>
          <w:rFonts w:ascii="Times New Roman" w:hAnsi="Times New Roman" w:cs="Times New Roman"/>
          <w:bCs/>
          <w:sz w:val="24"/>
          <w:szCs w:val="24"/>
        </w:rPr>
      </w:pPr>
      <w:r w:rsidRPr="001814F8">
        <w:rPr>
          <w:rFonts w:ascii="Times New Roman" w:hAnsi="Times New Roman" w:cs="Times New Roman"/>
          <w:b/>
          <w:bCs/>
          <w:sz w:val="24"/>
          <w:szCs w:val="24"/>
        </w:rPr>
        <w:t>Supplementary Figure 6:</w:t>
      </w:r>
      <w:r w:rsidRPr="001814F8">
        <w:rPr>
          <w:rFonts w:ascii="Times New Roman" w:hAnsi="Times New Roman" w:cs="Times New Roman"/>
          <w:bCs/>
          <w:sz w:val="24"/>
          <w:szCs w:val="24"/>
        </w:rPr>
        <w:t xml:space="preserve"> </w:t>
      </w:r>
      <w:r w:rsidRPr="001814F8">
        <w:rPr>
          <w:rFonts w:ascii="Times New Roman" w:hAnsi="Times New Roman" w:cs="Times New Roman"/>
          <w:b/>
          <w:bCs/>
          <w:sz w:val="24"/>
          <w:szCs w:val="24"/>
        </w:rPr>
        <w:t>Gene manipulation of STAT3 affects the enhanced anti-tumor effect of APG-1252 in combination with gemcitabine.</w:t>
      </w:r>
      <w:r w:rsidRPr="001814F8">
        <w:rPr>
          <w:rFonts w:ascii="Times New Roman" w:hAnsi="Times New Roman" w:cs="Times New Roman"/>
          <w:bCs/>
          <w:sz w:val="24"/>
          <w:szCs w:val="24"/>
        </w:rPr>
        <w:t xml:space="preserve"> (</w:t>
      </w:r>
      <w:proofErr w:type="spellStart"/>
      <w:proofErr w:type="gramStart"/>
      <w:r w:rsidRPr="001814F8">
        <w:rPr>
          <w:rFonts w:ascii="Times New Roman" w:hAnsi="Times New Roman" w:cs="Times New Roman"/>
          <w:bCs/>
          <w:sz w:val="24"/>
          <w:szCs w:val="24"/>
        </w:rPr>
        <w:t>a,b</w:t>
      </w:r>
      <w:proofErr w:type="spellEnd"/>
      <w:proofErr w:type="gramEnd"/>
      <w:r w:rsidRPr="001814F8">
        <w:rPr>
          <w:rFonts w:ascii="Times New Roman" w:hAnsi="Times New Roman" w:cs="Times New Roman"/>
          <w:bCs/>
          <w:sz w:val="24"/>
          <w:szCs w:val="24"/>
        </w:rPr>
        <w:t>) The apoptotic rate of the indicated TW03 cells transfected with the STAT3 shRNA, scrambled control, and STAT3 overexpression vectors after treatment with or without the combination therapy were determined using an Annexin V/PI assay. * P &lt; 0.05, ** P &lt; 0.01, *** P &lt; 0.001. Error bars indicate the standard deviation of three independently performed experiments. (</w:t>
      </w:r>
      <w:proofErr w:type="spellStart"/>
      <w:proofErr w:type="gramStart"/>
      <w:r w:rsidRPr="001814F8">
        <w:rPr>
          <w:rFonts w:ascii="Times New Roman" w:hAnsi="Times New Roman" w:cs="Times New Roman"/>
          <w:bCs/>
          <w:sz w:val="24"/>
          <w:szCs w:val="24"/>
        </w:rPr>
        <w:t>c,d</w:t>
      </w:r>
      <w:proofErr w:type="spellEnd"/>
      <w:proofErr w:type="gramEnd"/>
      <w:r w:rsidRPr="001814F8">
        <w:rPr>
          <w:rFonts w:ascii="Times New Roman" w:hAnsi="Times New Roman" w:cs="Times New Roman"/>
          <w:bCs/>
          <w:sz w:val="24"/>
          <w:szCs w:val="24"/>
        </w:rPr>
        <w:t>) Typical images and enumeration of the indicated TW03 cells (scramble control, STAT3 shRNA, vector, STAT3 overexpression) treated with or without the combination therapy after crystal violet staining. Data are shown as the mean ± SD. * P &lt; 0.05, ** P &lt; 0.01, *** P &lt; 0.001. (e) the CCK-8/IC50 values of the indicated TW03 cells transfection with the STAT3 shRNA, scrambled control, and STAT3 overexpression vectors after treatment with the combination therapy. * P &lt; 0.05, ** P &lt; 0.01, *** P &lt; 0.001. Error bars indicate the standard deviation of three independently performed experiments.</w:t>
      </w:r>
    </w:p>
    <w:p w14:paraId="1FAE47F3" w14:textId="7C0AE72D" w:rsidR="00053318" w:rsidRDefault="00053318" w:rsidP="001814F8">
      <w:pPr>
        <w:widowControl/>
        <w:spacing w:line="360" w:lineRule="auto"/>
        <w:jc w:val="left"/>
        <w:rPr>
          <w:rFonts w:ascii="Times New Roman" w:hAnsi="Times New Roman" w:cs="Times New Roman"/>
          <w:bCs/>
          <w:sz w:val="24"/>
          <w:szCs w:val="24"/>
        </w:rPr>
      </w:pPr>
    </w:p>
    <w:p w14:paraId="4953A880" w14:textId="7950C8BC" w:rsidR="00053318" w:rsidRPr="00053318" w:rsidRDefault="00053318" w:rsidP="001814F8">
      <w:pPr>
        <w:widowControl/>
        <w:spacing w:line="360" w:lineRule="auto"/>
        <w:jc w:val="left"/>
        <w:rPr>
          <w:rFonts w:ascii="Times New Roman" w:hAnsi="Times New Roman" w:cs="Times New Roman" w:hint="eastAsia"/>
          <w:b/>
          <w:bCs/>
          <w:sz w:val="24"/>
          <w:szCs w:val="24"/>
        </w:rPr>
      </w:pPr>
      <w:r w:rsidRPr="00053318">
        <w:rPr>
          <w:rFonts w:ascii="Times New Roman" w:hAnsi="Times New Roman" w:cs="Times New Roman"/>
          <w:b/>
          <w:bCs/>
          <w:sz w:val="24"/>
          <w:szCs w:val="24"/>
        </w:rPr>
        <w:t xml:space="preserve">Supplementary table S1. STAT3 </w:t>
      </w:r>
      <w:proofErr w:type="spellStart"/>
      <w:r w:rsidRPr="00053318">
        <w:rPr>
          <w:rFonts w:ascii="Times New Roman" w:hAnsi="Times New Roman" w:cs="Times New Roman"/>
          <w:b/>
          <w:bCs/>
          <w:sz w:val="24"/>
          <w:szCs w:val="24"/>
        </w:rPr>
        <w:t>shRNAs</w:t>
      </w:r>
      <w:proofErr w:type="spellEnd"/>
      <w:r w:rsidRPr="00053318">
        <w:rPr>
          <w:rFonts w:ascii="Times New Roman" w:hAnsi="Times New Roman" w:cs="Times New Roman"/>
          <w:b/>
          <w:bCs/>
          <w:sz w:val="24"/>
          <w:szCs w:val="24"/>
        </w:rPr>
        <w:t xml:space="preserve"> for vectors</w:t>
      </w:r>
      <w:r w:rsidRPr="00053318">
        <w:rPr>
          <w:rFonts w:ascii="Times New Roman" w:hAnsi="Times New Roman" w:cs="Times New Roman"/>
          <w:b/>
          <w:bCs/>
          <w:sz w:val="24"/>
          <w:szCs w:val="24"/>
        </w:rPr>
        <w:cr/>
      </w:r>
      <w:bookmarkStart w:id="1" w:name="_GoBack"/>
      <w:bookmarkEnd w:id="1"/>
      <w:r w:rsidRPr="00053318">
        <w:rPr>
          <w:rFonts w:ascii="Times New Roman" w:hAnsi="Times New Roman" w:cs="Times New Roman"/>
          <w:b/>
          <w:bCs/>
          <w:sz w:val="24"/>
          <w:szCs w:val="24"/>
        </w:rPr>
        <w:t>Supplementary table S2. Primers for vector construction.</w:t>
      </w:r>
    </w:p>
    <w:sectPr w:rsidR="00053318" w:rsidRPr="000533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0ED18E" w14:textId="77777777" w:rsidR="00117EAB" w:rsidRDefault="00117EAB" w:rsidP="001814F8">
      <w:r>
        <w:separator/>
      </w:r>
    </w:p>
  </w:endnote>
  <w:endnote w:type="continuationSeparator" w:id="0">
    <w:p w14:paraId="318AF5F5" w14:textId="77777777" w:rsidR="00117EAB" w:rsidRDefault="00117EAB" w:rsidP="00181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09D4A" w14:textId="77777777" w:rsidR="00117EAB" w:rsidRDefault="00117EAB" w:rsidP="001814F8">
      <w:r>
        <w:separator/>
      </w:r>
    </w:p>
  </w:footnote>
  <w:footnote w:type="continuationSeparator" w:id="0">
    <w:p w14:paraId="2C768BC7" w14:textId="77777777" w:rsidR="00117EAB" w:rsidRDefault="00117EAB" w:rsidP="001814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0CD"/>
    <w:rsid w:val="000140CD"/>
    <w:rsid w:val="00053318"/>
    <w:rsid w:val="00117EAB"/>
    <w:rsid w:val="001814F8"/>
    <w:rsid w:val="00654D79"/>
    <w:rsid w:val="00DE6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9AF8E"/>
  <w15:chartTrackingRefBased/>
  <w15:docId w15:val="{4F40140E-9892-4306-BB77-F146A4E3A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14F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814F8"/>
    <w:rPr>
      <w:sz w:val="18"/>
      <w:szCs w:val="18"/>
    </w:rPr>
  </w:style>
  <w:style w:type="paragraph" w:styleId="a5">
    <w:name w:val="footer"/>
    <w:basedOn w:val="a"/>
    <w:link w:val="a6"/>
    <w:uiPriority w:val="99"/>
    <w:unhideWhenUsed/>
    <w:rsid w:val="001814F8"/>
    <w:pPr>
      <w:tabs>
        <w:tab w:val="center" w:pos="4153"/>
        <w:tab w:val="right" w:pos="8306"/>
      </w:tabs>
      <w:snapToGrid w:val="0"/>
      <w:jc w:val="left"/>
    </w:pPr>
    <w:rPr>
      <w:sz w:val="18"/>
      <w:szCs w:val="18"/>
    </w:rPr>
  </w:style>
  <w:style w:type="character" w:customStyle="1" w:styleId="a6">
    <w:name w:val="页脚 字符"/>
    <w:basedOn w:val="a0"/>
    <w:link w:val="a5"/>
    <w:uiPriority w:val="99"/>
    <w:rsid w:val="001814F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888</Words>
  <Characters>5067</Characters>
  <Application>Microsoft Office Word</Application>
  <DocSecurity>0</DocSecurity>
  <Lines>42</Lines>
  <Paragraphs>11</Paragraphs>
  <ScaleCrop>false</ScaleCrop>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FT</dc:creator>
  <cp:keywords/>
  <dc:description/>
  <cp:lastModifiedBy>L FT</cp:lastModifiedBy>
  <cp:revision>4</cp:revision>
  <dcterms:created xsi:type="dcterms:W3CDTF">2021-07-14T17:57:00Z</dcterms:created>
  <dcterms:modified xsi:type="dcterms:W3CDTF">2021-07-14T17:59:00Z</dcterms:modified>
</cp:coreProperties>
</file>