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89216" w14:textId="77777777" w:rsidR="00FE6524" w:rsidRPr="00015D41" w:rsidRDefault="00FE6524" w:rsidP="00FE6524">
      <w:pPr>
        <w:pStyle w:val="NormalWeb"/>
        <w:spacing w:line="480" w:lineRule="auto"/>
        <w:rPr>
          <w:rFonts w:asciiTheme="minorHAnsi" w:hAnsiTheme="minorHAnsi" w:cstheme="minorHAnsi"/>
          <w:color w:val="000000"/>
        </w:rPr>
      </w:pPr>
      <w:r w:rsidRPr="00015D41">
        <w:rPr>
          <w:rFonts w:asciiTheme="minorHAnsi" w:hAnsiTheme="minorHAnsi" w:cstheme="minorHAnsi"/>
          <w:color w:val="000000"/>
        </w:rPr>
        <w:t>Supplemental Figures</w:t>
      </w:r>
    </w:p>
    <w:p w14:paraId="493932D4" w14:textId="77777777" w:rsidR="00FE6524" w:rsidRPr="00015D41" w:rsidRDefault="00FE6524" w:rsidP="00FE6524">
      <w:pPr>
        <w:pStyle w:val="NormalWeb"/>
        <w:spacing w:line="480" w:lineRule="auto"/>
        <w:rPr>
          <w:rFonts w:asciiTheme="minorHAnsi" w:hAnsiTheme="minorHAnsi" w:cstheme="minorHAnsi"/>
          <w:color w:val="000000"/>
        </w:rPr>
      </w:pPr>
      <w:r w:rsidRPr="00015D41">
        <w:rPr>
          <w:rFonts w:asciiTheme="minorHAnsi" w:hAnsiTheme="minorHAnsi" w:cstheme="minorHAnsi"/>
          <w:color w:val="000000"/>
        </w:rPr>
        <w:t xml:space="preserve">Figure S1. Retinal section showing co-localization of the </w:t>
      </w:r>
      <w:proofErr w:type="spellStart"/>
      <w:r w:rsidRPr="00015D41">
        <w:rPr>
          <w:rFonts w:asciiTheme="minorHAnsi" w:hAnsiTheme="minorHAnsi" w:cstheme="minorHAnsi"/>
          <w:color w:val="000000"/>
        </w:rPr>
        <w:t>mCherry</w:t>
      </w:r>
      <w:proofErr w:type="spellEnd"/>
      <w:r w:rsidRPr="00015D41">
        <w:rPr>
          <w:rFonts w:asciiTheme="minorHAnsi" w:hAnsiTheme="minorHAnsi" w:cstheme="minorHAnsi"/>
          <w:color w:val="000000"/>
        </w:rPr>
        <w:t>-BCLX</w:t>
      </w:r>
      <w:r w:rsidRPr="00015D41">
        <w:rPr>
          <w:rFonts w:asciiTheme="minorHAnsi" w:hAnsiTheme="minorHAnsi" w:cstheme="minorHAnsi"/>
          <w:color w:val="000000"/>
          <w:vertAlign w:val="subscript"/>
        </w:rPr>
        <w:t>L</w:t>
      </w:r>
      <w:r w:rsidRPr="00015D41">
        <w:rPr>
          <w:rFonts w:asciiTheme="minorHAnsi" w:hAnsiTheme="minorHAnsi" w:cstheme="minorHAnsi"/>
          <w:color w:val="000000"/>
        </w:rPr>
        <w:t xml:space="preserve"> transgene and Calbindin.</w:t>
      </w:r>
    </w:p>
    <w:p w14:paraId="325FCAE1" w14:textId="77777777" w:rsidR="00FE6524" w:rsidRDefault="00FE6524" w:rsidP="00FE6524">
      <w:pPr>
        <w:pStyle w:val="NormalWeb"/>
        <w:spacing w:line="480" w:lineRule="auto"/>
        <w:rPr>
          <w:rFonts w:asciiTheme="minorHAnsi" w:hAnsiTheme="minorHAnsi" w:cstheme="minorHAnsi"/>
          <w:color w:val="000000"/>
        </w:rPr>
      </w:pPr>
      <w:r w:rsidRPr="00015D41">
        <w:rPr>
          <w:rFonts w:asciiTheme="minorHAnsi" w:hAnsiTheme="minorHAnsi" w:cstheme="minorHAnsi"/>
          <w:color w:val="000000"/>
        </w:rPr>
        <w:t>Intravitreal injection of AAV2-Pgk-mCherrry-BCLX</w:t>
      </w:r>
      <w:r w:rsidRPr="00015D41">
        <w:rPr>
          <w:rFonts w:asciiTheme="minorHAnsi" w:hAnsiTheme="minorHAnsi" w:cstheme="minorHAnsi"/>
          <w:color w:val="000000"/>
          <w:vertAlign w:val="subscript"/>
        </w:rPr>
        <w:t>L</w:t>
      </w:r>
      <w:r w:rsidRPr="00015D41">
        <w:rPr>
          <w:rFonts w:asciiTheme="minorHAnsi" w:hAnsiTheme="minorHAnsi" w:cstheme="minorHAnsi"/>
          <w:color w:val="000000"/>
        </w:rPr>
        <w:t xml:space="preserve"> results in modest transduction of cells in both the inner nuclear layer (INL) and ganglion cell layer (GCL). Counter staining with an antibody to Calbindin indicates that these cells are likely horizontal neurons (arrows) which exhibit weak expression of the transgene, and a population of amacrine cells (arrowheads) which exhibit strong transgene expression. Cells in the GCL that are transduced and co-localize with Calbindin could be either amacrine cells or retinal ganglion cells</w:t>
      </w:r>
      <w:r w:rsidRPr="00015D41">
        <w:rPr>
          <w:rFonts w:asciiTheme="minorHAnsi" w:hAnsiTheme="minorHAnsi" w:cstheme="minorHAnsi"/>
          <w:color w:val="000000"/>
        </w:rPr>
        <w:fldChar w:fldCharType="begin" w:fldLock="1"/>
      </w:r>
      <w:r>
        <w:rPr>
          <w:rFonts w:asciiTheme="minorHAnsi" w:hAnsiTheme="minorHAnsi" w:cstheme="minorHAnsi"/>
          <w:color w:val="000000"/>
        </w:rPr>
        <w:instrText>ADDIN CSL_CITATION {"citationItems":[{"id":"ITEM-1","itemData":{"DOI":"10.1016/j.exer.2007.07.011","ISSN":"00144835","PMID":"17845803","abstract":"The developmental expression of calbindin (CalB), calretinin (CaR) and parvalbumin (PV) was followed in Macaca monkey retina using single and double immunolabeling to identify which proteins provide distinctive labels for specific cell types and to clarify the role of these proteins during development. Ganglion cells (GC) expressed PV at fetal day (Fd)55 and CaR and CalB by Fd85. CaR was downregulated after birth. Separate subsets of amacrine (AM) cells expressed CaR and CalB at Fd65-70. After Fd115, many CaR+ AM coexpressed CalB. After Fd120 a few AM expressed PV and these added CaR and CalB after birth. A subset of horizontal cells (HZ) expressed CaR and CalB at Fd70. Slightly later all HZ express PV and CaR while the early subset is CalB+/PV+/CaR+. CaR downregulates in all HZ after birth. The DB3 cone bipolar cells (BP) under the HZ label for CalB by Fd90-110 while a probable OFF BP cell body just above the AM layer becomes CaR+ near birth with labeling increasing after birth. All cones outside of the fovea label for CalB by Fd125. Foveal cones, rods, most BP and Müller glia do not label for these proteins at any age. The complex patterns of up- and down-regulation found in Macaca retina are similar to previous reports of expression in human retina, but in many instances are quite different than earlier reports of CaR, CalB and PV expression patterns in monkey central visual centers. This makes it highly likely that each protein plays a specific but undetermined role(s) in each visual center, and that its expression is controlled at a given stage of retinal development by multiple intrinsic and extrinsic factors. © 2007 Elsevier Ltd. All rights reserved.","author":[{"dropping-particle":"","family":"Hendrickson","given":"A.","non-dropping-particle":"","parse-names":false,"suffix":""},{"dropping-particle":"","family":"Yan","given":"Y. H.","non-dropping-particle":"","parse-names":false,"suffix":""},{"dropping-particle":"","family":"Erickson","given":"A.","non-dropping-particle":"","parse-names":false,"suffix":""},{"dropping-particle":"","family":"Possin","given":"D.","non-dropping-particle":"","parse-names":false,"suffix":""},{"dropping-particle":"","family":"Pow","given":"D.","non-dropping-particle":"","parse-names":false,"suffix":""}],"container-title":"Experimental Eye Research","id":"ITEM-1","issue":"5","issued":{"date-parts":[["2007","11"]]},"page":"587-601","publisher":"Exp Eye Res","title":"Expression patterns of calretinin, calbindin and parvalbumin and their colocalization in neurons during development of Macaca monkey retina","type":"article-journal","volume":"85"},"uris":["http://www.mendeley.com/documents/?uuid=64c4c93e-b7c0-32c1-8af2-441806868ad8"]}],"mendeley":{"formattedCitation":"&lt;sup&gt;55&lt;/sup&gt;","plainTextFormattedCitation":"55","previouslyFormattedCitation":"&lt;sup&gt;55&lt;/sup&gt;"},"properties":{"noteIndex":0},"schema":"https://github.com/citation-style-language/schema/raw/master/csl-citation.json"}</w:instrText>
      </w:r>
      <w:r w:rsidRPr="00015D41">
        <w:rPr>
          <w:rFonts w:asciiTheme="minorHAnsi" w:hAnsiTheme="minorHAnsi" w:cstheme="minorHAnsi"/>
          <w:color w:val="000000"/>
        </w:rPr>
        <w:fldChar w:fldCharType="separate"/>
      </w:r>
      <w:r w:rsidRPr="00C40BEB">
        <w:rPr>
          <w:rFonts w:asciiTheme="minorHAnsi" w:hAnsiTheme="minorHAnsi" w:cstheme="minorHAnsi"/>
          <w:noProof/>
          <w:color w:val="000000"/>
          <w:vertAlign w:val="superscript"/>
        </w:rPr>
        <w:t>55</w:t>
      </w:r>
      <w:r w:rsidRPr="00015D41">
        <w:rPr>
          <w:rFonts w:asciiTheme="minorHAnsi" w:hAnsiTheme="minorHAnsi" w:cstheme="minorHAnsi"/>
          <w:color w:val="000000"/>
        </w:rPr>
        <w:fldChar w:fldCharType="end"/>
      </w:r>
      <w:r w:rsidRPr="00015D41">
        <w:rPr>
          <w:rFonts w:asciiTheme="minorHAnsi" w:hAnsiTheme="minorHAnsi" w:cstheme="minorHAnsi"/>
          <w:color w:val="000000"/>
        </w:rPr>
        <w:t>. No transgene expressing cells in the outer nuclear layer (ONL) were detected. Individual channels are shown. Scale bar = 70 µm.</w:t>
      </w:r>
    </w:p>
    <w:p w14:paraId="1FF6E7BE" w14:textId="77777777" w:rsidR="00FE6524" w:rsidRPr="00015D41" w:rsidRDefault="00FE6524" w:rsidP="00FE6524">
      <w:pPr>
        <w:pStyle w:val="NormalWeb"/>
        <w:spacing w:line="480" w:lineRule="auto"/>
        <w:rPr>
          <w:rFonts w:asciiTheme="minorHAnsi" w:hAnsiTheme="minorHAnsi" w:cstheme="minorHAnsi"/>
          <w:color w:val="000000"/>
        </w:rPr>
      </w:pPr>
    </w:p>
    <w:p w14:paraId="5E251ADF" w14:textId="77777777" w:rsidR="00FE6524" w:rsidRPr="00015D41" w:rsidRDefault="00FE6524" w:rsidP="00FE6524">
      <w:pPr>
        <w:pStyle w:val="NormalWeb"/>
        <w:spacing w:line="480" w:lineRule="auto"/>
        <w:rPr>
          <w:rFonts w:asciiTheme="minorHAnsi" w:hAnsiTheme="minorHAnsi" w:cstheme="minorHAnsi"/>
          <w:color w:val="000000"/>
        </w:rPr>
      </w:pPr>
      <w:r w:rsidRPr="00015D41">
        <w:rPr>
          <w:rFonts w:asciiTheme="minorHAnsi" w:hAnsiTheme="minorHAnsi" w:cstheme="minorHAnsi"/>
          <w:color w:val="000000"/>
        </w:rPr>
        <w:t xml:space="preserve">Figure S2. Whole mounted retinas showing </w:t>
      </w:r>
      <w:proofErr w:type="spellStart"/>
      <w:r w:rsidRPr="00015D41">
        <w:rPr>
          <w:rFonts w:asciiTheme="minorHAnsi" w:hAnsiTheme="minorHAnsi" w:cstheme="minorHAnsi"/>
          <w:color w:val="000000"/>
        </w:rPr>
        <w:t>mCherry</w:t>
      </w:r>
      <w:proofErr w:type="spellEnd"/>
      <w:r w:rsidRPr="00015D41">
        <w:rPr>
          <w:rFonts w:asciiTheme="minorHAnsi" w:hAnsiTheme="minorHAnsi" w:cstheme="minorHAnsi"/>
          <w:color w:val="000000"/>
        </w:rPr>
        <w:t>-BCLX</w:t>
      </w:r>
      <w:r w:rsidRPr="00015D41">
        <w:rPr>
          <w:rFonts w:asciiTheme="minorHAnsi" w:hAnsiTheme="minorHAnsi" w:cstheme="minorHAnsi"/>
          <w:color w:val="000000"/>
          <w:vertAlign w:val="subscript"/>
        </w:rPr>
        <w:t>L</w:t>
      </w:r>
      <w:r w:rsidRPr="00015D41">
        <w:rPr>
          <w:rFonts w:asciiTheme="minorHAnsi" w:hAnsiTheme="minorHAnsi" w:cstheme="minorHAnsi"/>
          <w:color w:val="000000"/>
        </w:rPr>
        <w:t xml:space="preserve"> expression in the ganglion cell layer of DBA/2J mice.</w:t>
      </w:r>
    </w:p>
    <w:p w14:paraId="5084B55A" w14:textId="77777777" w:rsidR="00FE6524" w:rsidRDefault="00FE6524" w:rsidP="00FE6524">
      <w:pPr>
        <w:pStyle w:val="NormalWeb"/>
        <w:spacing w:line="480" w:lineRule="auto"/>
        <w:rPr>
          <w:rFonts w:asciiTheme="minorHAnsi" w:hAnsiTheme="minorHAnsi" w:cstheme="minorHAnsi"/>
          <w:color w:val="000000"/>
        </w:rPr>
      </w:pPr>
      <w:r w:rsidRPr="00015D41">
        <w:rPr>
          <w:rFonts w:asciiTheme="minorHAnsi" w:hAnsiTheme="minorHAnsi" w:cstheme="minorHAnsi"/>
          <w:color w:val="000000"/>
        </w:rPr>
        <w:t xml:space="preserve">(Top panels) Retina of a </w:t>
      </w:r>
      <w:proofErr w:type="gramStart"/>
      <w:r w:rsidRPr="00015D41">
        <w:rPr>
          <w:rFonts w:asciiTheme="minorHAnsi" w:hAnsiTheme="minorHAnsi" w:cstheme="minorHAnsi"/>
          <w:color w:val="000000"/>
        </w:rPr>
        <w:t>10.5 month old</w:t>
      </w:r>
      <w:proofErr w:type="gramEnd"/>
      <w:r w:rsidRPr="00015D41">
        <w:rPr>
          <w:rFonts w:asciiTheme="minorHAnsi" w:hAnsiTheme="minorHAnsi" w:cstheme="minorHAnsi"/>
          <w:color w:val="000000"/>
        </w:rPr>
        <w:t xml:space="preserve"> mouse and (Bottom panels) 12 month mouse showing cells with robust expression of the transgene. Individual channels are shown. Scale bar = 20 µm.</w:t>
      </w:r>
    </w:p>
    <w:p w14:paraId="0E2E1D75" w14:textId="77777777" w:rsidR="00FE6524" w:rsidRDefault="00FE6524" w:rsidP="00FE6524">
      <w:pPr>
        <w:pStyle w:val="NormalWeb"/>
        <w:spacing w:line="480" w:lineRule="auto"/>
        <w:rPr>
          <w:rFonts w:asciiTheme="minorHAnsi" w:hAnsiTheme="minorHAnsi" w:cstheme="minorHAnsi"/>
          <w:color w:val="000000"/>
        </w:rPr>
      </w:pPr>
    </w:p>
    <w:p w14:paraId="1A2CCA3A" w14:textId="77777777" w:rsidR="00FE6524" w:rsidRPr="00015D41" w:rsidRDefault="00FE6524" w:rsidP="00FE6524">
      <w:pPr>
        <w:pStyle w:val="NormalWeb"/>
        <w:spacing w:line="480" w:lineRule="auto"/>
        <w:rPr>
          <w:rFonts w:asciiTheme="minorHAnsi" w:hAnsiTheme="minorHAnsi" w:cstheme="minorHAnsi"/>
          <w:color w:val="000000"/>
        </w:rPr>
      </w:pPr>
      <w:r>
        <w:rPr>
          <w:rFonts w:asciiTheme="minorHAnsi" w:hAnsiTheme="minorHAnsi" w:cstheme="minorHAnsi"/>
          <w:color w:val="000000"/>
        </w:rPr>
        <w:t xml:space="preserve">Figure S3. Glaucomatous damage scores in </w:t>
      </w:r>
      <w:proofErr w:type="gramStart"/>
      <w:r>
        <w:rPr>
          <w:rFonts w:asciiTheme="minorHAnsi" w:hAnsiTheme="minorHAnsi" w:cstheme="minorHAnsi"/>
          <w:color w:val="000000"/>
        </w:rPr>
        <w:t>10.5 month old</w:t>
      </w:r>
      <w:proofErr w:type="gramEnd"/>
      <w:r>
        <w:rPr>
          <w:rFonts w:asciiTheme="minorHAnsi" w:hAnsiTheme="minorHAnsi" w:cstheme="minorHAnsi"/>
          <w:color w:val="000000"/>
        </w:rPr>
        <w:t xml:space="preserve"> DBA/2J mice transduced at 7 months of age. A) </w:t>
      </w:r>
      <w:proofErr w:type="spellStart"/>
      <w:r>
        <w:rPr>
          <w:rFonts w:asciiTheme="minorHAnsi" w:hAnsiTheme="minorHAnsi" w:cstheme="minorHAnsi"/>
          <w:color w:val="000000"/>
        </w:rPr>
        <w:t>Histographs</w:t>
      </w:r>
      <w:proofErr w:type="spellEnd"/>
      <w:r>
        <w:rPr>
          <w:rFonts w:asciiTheme="minorHAnsi" w:hAnsiTheme="minorHAnsi" w:cstheme="minorHAnsi"/>
          <w:color w:val="000000"/>
        </w:rPr>
        <w:t xml:space="preserve"> of optic nerve scores. The data shown for young naïve mice (&lt;4 </w:t>
      </w:r>
      <w:r>
        <w:rPr>
          <w:rFonts w:asciiTheme="minorHAnsi" w:hAnsiTheme="minorHAnsi" w:cstheme="minorHAnsi"/>
          <w:color w:val="000000"/>
        </w:rPr>
        <w:lastRenderedPageBreak/>
        <w:t xml:space="preserve">months old), naïve mice at 10.5 months, and mice at 10.5 months treated with </w:t>
      </w:r>
      <w:r w:rsidRPr="00596064">
        <w:rPr>
          <w:rFonts w:asciiTheme="minorHAnsi" w:hAnsiTheme="minorHAnsi" w:cstheme="minorHAnsi"/>
          <w:i/>
          <w:iCs/>
          <w:color w:val="000000"/>
        </w:rPr>
        <w:t>AAV2/2-Pgk-mCherry-BCLX</w:t>
      </w:r>
      <w:r w:rsidRPr="00596064">
        <w:rPr>
          <w:rFonts w:asciiTheme="minorHAnsi" w:hAnsiTheme="minorHAnsi" w:cstheme="minorHAnsi"/>
          <w:i/>
          <w:iCs/>
          <w:color w:val="000000"/>
          <w:vertAlign w:val="subscript"/>
        </w:rPr>
        <w:t>L</w:t>
      </w:r>
      <w:r>
        <w:rPr>
          <w:rFonts w:asciiTheme="minorHAnsi" w:hAnsiTheme="minorHAnsi" w:cstheme="minorHAnsi"/>
          <w:color w:val="000000"/>
        </w:rPr>
        <w:t xml:space="preserve"> at 4-5 months of age are reproduced from Figure 7. These data are compared to </w:t>
      </w:r>
      <w:proofErr w:type="gramStart"/>
      <w:r>
        <w:rPr>
          <w:rFonts w:asciiTheme="minorHAnsi" w:hAnsiTheme="minorHAnsi" w:cstheme="minorHAnsi"/>
          <w:color w:val="000000"/>
        </w:rPr>
        <w:t>10.5 month old</w:t>
      </w:r>
      <w:proofErr w:type="gramEnd"/>
      <w:r>
        <w:rPr>
          <w:rFonts w:asciiTheme="minorHAnsi" w:hAnsiTheme="minorHAnsi" w:cstheme="minorHAnsi"/>
          <w:color w:val="000000"/>
        </w:rPr>
        <w:t xml:space="preserve"> DBA/2J mice transduced with virus at 7 months of age. Statistical comparisons are only shown for the </w:t>
      </w:r>
      <w:proofErr w:type="gramStart"/>
      <w:r>
        <w:rPr>
          <w:rFonts w:asciiTheme="minorHAnsi" w:hAnsiTheme="minorHAnsi" w:cstheme="minorHAnsi"/>
          <w:color w:val="000000"/>
        </w:rPr>
        <w:t>7 month</w:t>
      </w:r>
      <w:proofErr w:type="gramEnd"/>
      <w:r>
        <w:rPr>
          <w:rFonts w:asciiTheme="minorHAnsi" w:hAnsiTheme="minorHAnsi" w:cstheme="minorHAnsi"/>
          <w:color w:val="000000"/>
        </w:rPr>
        <w:t xml:space="preserve"> treated group relative to the other </w:t>
      </w:r>
      <w:r w:rsidRPr="00596064">
        <w:rPr>
          <w:rFonts w:ascii="Calibri" w:hAnsi="Calibri" w:cstheme="minorHAnsi"/>
          <w:color w:val="000000"/>
        </w:rPr>
        <w:t>cohorts</w:t>
      </w:r>
      <w:r>
        <w:rPr>
          <w:rFonts w:ascii="Calibri" w:hAnsi="Calibri" w:cstheme="minorHAnsi"/>
          <w:color w:val="000000"/>
        </w:rPr>
        <w:t xml:space="preserve"> (statistics for the other groups are shown in Figure 7)</w:t>
      </w:r>
      <w:r w:rsidRPr="00596064">
        <w:rPr>
          <w:rFonts w:ascii="Calibri" w:hAnsi="Calibri" w:cstheme="minorHAnsi"/>
          <w:color w:val="000000"/>
        </w:rPr>
        <w:t>.</w:t>
      </w:r>
      <w:r w:rsidRPr="00596064">
        <w:rPr>
          <w:rFonts w:ascii="Calibri" w:hAnsi="Calibri"/>
        </w:rPr>
        <w:t xml:space="preserve"> The distribution of mice for each cohort (M/F) was: &lt;4 (4/12); 10.5 Naïve (21/21); </w:t>
      </w:r>
      <w:r>
        <w:rPr>
          <w:rFonts w:ascii="Calibri" w:hAnsi="Calibri"/>
        </w:rPr>
        <w:t>10.5 (transduced at 4-</w:t>
      </w:r>
      <w:r w:rsidRPr="00596064">
        <w:rPr>
          <w:rFonts w:ascii="Calibri" w:hAnsi="Calibri"/>
        </w:rPr>
        <w:t>5</w:t>
      </w:r>
      <w:r>
        <w:rPr>
          <w:rFonts w:ascii="Calibri" w:hAnsi="Calibri"/>
        </w:rPr>
        <w:t xml:space="preserve"> mo.)</w:t>
      </w:r>
      <w:r w:rsidRPr="00596064">
        <w:rPr>
          <w:rFonts w:ascii="Calibri" w:hAnsi="Calibri"/>
        </w:rPr>
        <w:t xml:space="preserve"> BCLX</w:t>
      </w:r>
      <w:r w:rsidRPr="00596064">
        <w:rPr>
          <w:rFonts w:ascii="Calibri" w:hAnsi="Calibri"/>
          <w:vertAlign w:val="subscript"/>
        </w:rPr>
        <w:t>L</w:t>
      </w:r>
      <w:r w:rsidRPr="00596064">
        <w:rPr>
          <w:rFonts w:ascii="Calibri" w:hAnsi="Calibri"/>
        </w:rPr>
        <w:t xml:space="preserve"> (22/15); 1</w:t>
      </w:r>
      <w:r>
        <w:rPr>
          <w:rFonts w:ascii="Calibri" w:hAnsi="Calibri"/>
        </w:rPr>
        <w:t>0.5 (transduced at 7 mo.)</w:t>
      </w:r>
      <w:r w:rsidRPr="00596064">
        <w:rPr>
          <w:rFonts w:ascii="Calibri" w:hAnsi="Calibri"/>
        </w:rPr>
        <w:t xml:space="preserve"> BCLX</w:t>
      </w:r>
      <w:r w:rsidRPr="00596064">
        <w:rPr>
          <w:rFonts w:ascii="Calibri" w:hAnsi="Calibri"/>
          <w:vertAlign w:val="subscript"/>
        </w:rPr>
        <w:t>L</w:t>
      </w:r>
      <w:r w:rsidRPr="00596064">
        <w:rPr>
          <w:rFonts w:ascii="Calibri" w:hAnsi="Calibri"/>
        </w:rPr>
        <w:t xml:space="preserve"> (1</w:t>
      </w:r>
      <w:r>
        <w:rPr>
          <w:rFonts w:ascii="Calibri" w:hAnsi="Calibri"/>
        </w:rPr>
        <w:t>2</w:t>
      </w:r>
      <w:r w:rsidRPr="00596064">
        <w:rPr>
          <w:rFonts w:ascii="Calibri" w:hAnsi="Calibri"/>
        </w:rPr>
        <w:t>/1</w:t>
      </w:r>
      <w:r>
        <w:rPr>
          <w:rFonts w:ascii="Calibri" w:hAnsi="Calibri"/>
        </w:rPr>
        <w:t>6</w:t>
      </w:r>
      <w:r w:rsidRPr="00596064">
        <w:rPr>
          <w:rFonts w:ascii="Calibri" w:hAnsi="Calibri"/>
        </w:rPr>
        <w:t xml:space="preserve">). </w:t>
      </w:r>
      <w:r w:rsidRPr="00596064">
        <w:rPr>
          <w:rFonts w:ascii="Calibri" w:hAnsi="Calibri" w:cstheme="minorHAnsi"/>
          <w:color w:val="000000"/>
        </w:rPr>
        <w:t xml:space="preserve"> </w:t>
      </w:r>
      <w:r w:rsidRPr="00596064">
        <w:rPr>
          <w:rFonts w:asciiTheme="minorHAnsi" w:hAnsiTheme="minorHAnsi"/>
        </w:rPr>
        <w:sym w:font="Symbol" w:char="F063"/>
      </w:r>
      <w:r w:rsidRPr="00596064">
        <w:rPr>
          <w:rFonts w:asciiTheme="minorHAnsi" w:hAnsiTheme="minorHAnsi" w:cs="Calibri"/>
          <w:vertAlign w:val="superscript"/>
        </w:rPr>
        <w:t>2</w:t>
      </w:r>
      <w:r w:rsidRPr="00596064">
        <w:rPr>
          <w:rFonts w:asciiTheme="minorHAnsi" w:hAnsiTheme="minorHAnsi" w:cs="Calibri"/>
        </w:rPr>
        <w:t xml:space="preserve"> tests, </w:t>
      </w:r>
      <w:proofErr w:type="spellStart"/>
      <w:r w:rsidRPr="00596064">
        <w:rPr>
          <w:rFonts w:ascii="Calibri" w:hAnsi="Calibri" w:cstheme="minorHAnsi"/>
          <w:color w:val="000000"/>
        </w:rPr>
        <w:t>n.s</w:t>
      </w:r>
      <w:proofErr w:type="spellEnd"/>
      <w:r w:rsidRPr="00596064">
        <w:rPr>
          <w:rFonts w:ascii="Calibri" w:hAnsi="Calibri" w:cstheme="minorHAnsi"/>
          <w:color w:val="000000"/>
        </w:rPr>
        <w:t>.=not significant, ***P&lt;0.0001.</w:t>
      </w:r>
      <w:r>
        <w:rPr>
          <w:rFonts w:ascii="Calibri" w:hAnsi="Calibri" w:cstheme="minorHAnsi"/>
          <w:color w:val="000000"/>
        </w:rPr>
        <w:t xml:space="preserve"> B) Scatter plot showing total retinal cell density as a function of optic nerve score. The data for &lt;</w:t>
      </w:r>
      <w:proofErr w:type="gramStart"/>
      <w:r>
        <w:rPr>
          <w:rFonts w:ascii="Calibri" w:hAnsi="Calibri" w:cstheme="minorHAnsi"/>
          <w:color w:val="000000"/>
        </w:rPr>
        <w:t>4 month old</w:t>
      </w:r>
      <w:proofErr w:type="gramEnd"/>
      <w:r>
        <w:rPr>
          <w:rFonts w:ascii="Calibri" w:hAnsi="Calibri" w:cstheme="minorHAnsi"/>
          <w:color w:val="000000"/>
        </w:rPr>
        <w:t xml:space="preserve"> mice is reproduced from Figure 8. The distribution of mice transduced at 7 months was 10 male and 16 female. Student </w:t>
      </w:r>
      <w:r w:rsidRPr="00596064">
        <w:rPr>
          <w:rFonts w:ascii="Calibri" w:hAnsi="Calibri" w:cstheme="minorHAnsi"/>
          <w:i/>
          <w:iCs/>
          <w:color w:val="000000"/>
        </w:rPr>
        <w:t>t</w:t>
      </w:r>
      <w:r>
        <w:rPr>
          <w:rFonts w:ascii="Calibri" w:hAnsi="Calibri" w:cstheme="minorHAnsi"/>
          <w:color w:val="000000"/>
        </w:rPr>
        <w:t>-tests, *P=0.0035, **P=0.001.</w:t>
      </w:r>
    </w:p>
    <w:p w14:paraId="53BEF3D1" w14:textId="77777777" w:rsidR="008B313F" w:rsidRDefault="000B14A2"/>
    <w:sectPr w:rsidR="008B313F" w:rsidSect="008F0265">
      <w:footerReference w:type="even" r:id="rId6"/>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A1849" w14:textId="77777777" w:rsidR="000B14A2" w:rsidRDefault="000B14A2">
      <w:r>
        <w:separator/>
      </w:r>
    </w:p>
  </w:endnote>
  <w:endnote w:type="continuationSeparator" w:id="0">
    <w:p w14:paraId="4F8CD41D" w14:textId="77777777" w:rsidR="000B14A2" w:rsidRDefault="000B1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4790335"/>
      <w:docPartObj>
        <w:docPartGallery w:val="Page Numbers (Bottom of Page)"/>
        <w:docPartUnique/>
      </w:docPartObj>
    </w:sdtPr>
    <w:sdtEndPr>
      <w:rPr>
        <w:rStyle w:val="PageNumber"/>
      </w:rPr>
    </w:sdtEndPr>
    <w:sdtContent>
      <w:p w14:paraId="4356D9CE" w14:textId="77777777" w:rsidR="00775D89" w:rsidRDefault="00FE6524" w:rsidP="00D86A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EE794B" w14:textId="77777777" w:rsidR="00775D89" w:rsidRDefault="000B14A2" w:rsidP="00775D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83225382"/>
      <w:docPartObj>
        <w:docPartGallery w:val="Page Numbers (Bottom of Page)"/>
        <w:docPartUnique/>
      </w:docPartObj>
    </w:sdtPr>
    <w:sdtEndPr>
      <w:rPr>
        <w:rStyle w:val="PageNumber"/>
      </w:rPr>
    </w:sdtEndPr>
    <w:sdtContent>
      <w:p w14:paraId="76FD0098" w14:textId="77777777" w:rsidR="00775D89" w:rsidRDefault="00FE6524" w:rsidP="00D86A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0CB091" w14:textId="77777777" w:rsidR="00775D89" w:rsidRDefault="000B14A2" w:rsidP="00775D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4E57C" w14:textId="77777777" w:rsidR="000B14A2" w:rsidRDefault="000B14A2">
      <w:r>
        <w:separator/>
      </w:r>
    </w:p>
  </w:footnote>
  <w:footnote w:type="continuationSeparator" w:id="0">
    <w:p w14:paraId="143E3FFE" w14:textId="77777777" w:rsidR="000B14A2" w:rsidRDefault="000B1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24"/>
    <w:rsid w:val="000B14A2"/>
    <w:rsid w:val="00553D8B"/>
    <w:rsid w:val="00B64C0E"/>
    <w:rsid w:val="00E04C27"/>
    <w:rsid w:val="00FE6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CE2E22"/>
  <w15:chartTrackingRefBased/>
  <w15:docId w15:val="{C2CC7026-2CF4-0846-A925-FB6E99B8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5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6524"/>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FE6524"/>
    <w:pPr>
      <w:tabs>
        <w:tab w:val="center" w:pos="4680"/>
        <w:tab w:val="right" w:pos="9360"/>
      </w:tabs>
    </w:pPr>
  </w:style>
  <w:style w:type="character" w:customStyle="1" w:styleId="FooterChar">
    <w:name w:val="Footer Char"/>
    <w:basedOn w:val="DefaultParagraphFont"/>
    <w:link w:val="Footer"/>
    <w:uiPriority w:val="99"/>
    <w:rsid w:val="00FE6524"/>
  </w:style>
  <w:style w:type="character" w:styleId="PageNumber">
    <w:name w:val="page number"/>
    <w:basedOn w:val="DefaultParagraphFont"/>
    <w:uiPriority w:val="99"/>
    <w:semiHidden/>
    <w:unhideWhenUsed/>
    <w:rsid w:val="00FE6524"/>
  </w:style>
  <w:style w:type="character" w:styleId="LineNumber">
    <w:name w:val="line number"/>
    <w:basedOn w:val="DefaultParagraphFont"/>
    <w:uiPriority w:val="99"/>
    <w:semiHidden/>
    <w:unhideWhenUsed/>
    <w:rsid w:val="00FE6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ROBERT W NICKELLS</cp:lastModifiedBy>
  <cp:revision>2</cp:revision>
  <dcterms:created xsi:type="dcterms:W3CDTF">2021-07-26T20:33:00Z</dcterms:created>
  <dcterms:modified xsi:type="dcterms:W3CDTF">2021-07-26T20:33:00Z</dcterms:modified>
</cp:coreProperties>
</file>