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75C34F" w14:textId="77777777" w:rsidR="000249E0" w:rsidRPr="00CB41A5" w:rsidRDefault="000249E0" w:rsidP="000249E0">
      <w:pPr>
        <w:spacing w:line="480" w:lineRule="auto"/>
        <w:rPr>
          <w:rFonts w:ascii="Palatino Linotype" w:hAnsi="Palatino Linotype"/>
          <w:b/>
          <w:bCs/>
        </w:rPr>
      </w:pPr>
      <w:r w:rsidRPr="00CB41A5">
        <w:rPr>
          <w:rFonts w:ascii="Palatino Linotype" w:hAnsi="Palatino Linotype"/>
          <w:b/>
          <w:bCs/>
        </w:rPr>
        <w:t>Supplementary Figure 1</w:t>
      </w:r>
      <w:r>
        <w:rPr>
          <w:rFonts w:ascii="Palatino Linotype" w:hAnsi="Palatino Linotype"/>
          <w:b/>
          <w:bCs/>
        </w:rPr>
        <w:t xml:space="preserve">. ASCC Cell Line Establishment and Culture Characteristics </w:t>
      </w:r>
    </w:p>
    <w:p w14:paraId="5ED2898F" w14:textId="77777777" w:rsidR="000249E0" w:rsidRPr="00CB41A5" w:rsidRDefault="000249E0" w:rsidP="000249E0">
      <w:pPr>
        <w:pStyle w:val="Caption"/>
        <w:spacing w:after="0" w:line="480" w:lineRule="auto"/>
        <w:jc w:val="both"/>
        <w:rPr>
          <w:b w:val="0"/>
          <w:bCs w:val="0"/>
          <w:color w:val="000000" w:themeColor="text1"/>
          <w:szCs w:val="24"/>
        </w:rPr>
      </w:pPr>
      <w:bookmarkStart w:id="0" w:name="_Toc25521208"/>
      <w:r w:rsidRPr="00CB41A5">
        <w:rPr>
          <w:color w:val="000000" w:themeColor="text1"/>
          <w:szCs w:val="24"/>
        </w:rPr>
        <w:t>A.</w:t>
      </w:r>
      <w:r w:rsidRPr="00CB41A5">
        <w:rPr>
          <w:b w:val="0"/>
          <w:bCs w:val="0"/>
          <w:color w:val="000000" w:themeColor="text1"/>
          <w:szCs w:val="24"/>
        </w:rPr>
        <w:t xml:space="preserve"> Epithelial cell outgrowth from tumour explants. Brightfield photomicrographs from left to right demonstrate initial tumour explant (indicated by dotted line) adherence with fibroblast outgrowth, followed by squamous cell expansion (indicated by dashed line) onto the fibroblast bed over a period of 3 weeks (left images – day 7, middle images – day 14, right images – day 21). (upper row – x 10 image, scale bar 400</w:t>
      </w:r>
      <w:r w:rsidRPr="00CB41A5">
        <w:rPr>
          <w:rFonts w:cs="Lucida Grande"/>
          <w:b w:val="0"/>
          <w:bCs w:val="0"/>
          <w:color w:val="000000" w:themeColor="text1"/>
          <w:szCs w:val="24"/>
        </w:rPr>
        <w:t>μ</w:t>
      </w:r>
      <w:r w:rsidRPr="00CB41A5">
        <w:rPr>
          <w:b w:val="0"/>
          <w:bCs w:val="0"/>
          <w:color w:val="000000" w:themeColor="text1"/>
          <w:szCs w:val="24"/>
        </w:rPr>
        <w:t>m, lower row – x 20 image, scale bar 200</w:t>
      </w:r>
      <w:r w:rsidRPr="00CB41A5">
        <w:rPr>
          <w:rFonts w:cs="Lucida Grande"/>
          <w:b w:val="0"/>
          <w:bCs w:val="0"/>
          <w:color w:val="000000" w:themeColor="text1"/>
          <w:szCs w:val="24"/>
        </w:rPr>
        <w:t>μ</w:t>
      </w:r>
      <w:r w:rsidRPr="00CB41A5">
        <w:rPr>
          <w:b w:val="0"/>
          <w:bCs w:val="0"/>
          <w:color w:val="000000" w:themeColor="text1"/>
          <w:szCs w:val="24"/>
        </w:rPr>
        <w:t>m)</w:t>
      </w:r>
      <w:bookmarkEnd w:id="0"/>
    </w:p>
    <w:p w14:paraId="4DF42750" w14:textId="77777777" w:rsidR="000249E0" w:rsidRPr="00CB41A5" w:rsidRDefault="000249E0" w:rsidP="000249E0">
      <w:pPr>
        <w:pStyle w:val="Caption"/>
        <w:spacing w:after="0" w:line="480" w:lineRule="auto"/>
        <w:jc w:val="both"/>
        <w:rPr>
          <w:b w:val="0"/>
          <w:bCs w:val="0"/>
          <w:color w:val="000000" w:themeColor="text1"/>
          <w:szCs w:val="24"/>
        </w:rPr>
      </w:pPr>
      <w:r w:rsidRPr="00CB41A5">
        <w:rPr>
          <w:color w:val="000000" w:themeColor="text1"/>
          <w:szCs w:val="24"/>
        </w:rPr>
        <w:t>B</w:t>
      </w:r>
      <w:r w:rsidRPr="00CB41A5">
        <w:rPr>
          <w:b w:val="0"/>
          <w:bCs w:val="0"/>
          <w:color w:val="000000" w:themeColor="text1"/>
          <w:szCs w:val="24"/>
        </w:rPr>
        <w:t>. Mycoplasma Assessment by PCR. PCR for mycoplasma (520bp) and cytochrome C (375bp; loading control) run on 1.5% agarose gel containing Midori Green utilising gDNA extracted from cell line pellets. (P1, PMAC1; P2, PMAC2; P3, PMAC3; P4, PMAC4; P5, PMAC5; +</w:t>
      </w:r>
      <w:proofErr w:type="spellStart"/>
      <w:r w:rsidRPr="00CB41A5">
        <w:rPr>
          <w:b w:val="0"/>
          <w:bCs w:val="0"/>
          <w:color w:val="000000" w:themeColor="text1"/>
          <w:szCs w:val="24"/>
        </w:rPr>
        <w:t>ve</w:t>
      </w:r>
      <w:proofErr w:type="spellEnd"/>
      <w:r w:rsidRPr="00CB41A5">
        <w:rPr>
          <w:b w:val="0"/>
          <w:bCs w:val="0"/>
          <w:color w:val="000000" w:themeColor="text1"/>
          <w:szCs w:val="24"/>
        </w:rPr>
        <w:t xml:space="preserve"> – mycoplasma positive control; –</w:t>
      </w:r>
      <w:proofErr w:type="spellStart"/>
      <w:r w:rsidRPr="00CB41A5">
        <w:rPr>
          <w:b w:val="0"/>
          <w:bCs w:val="0"/>
          <w:color w:val="000000" w:themeColor="text1"/>
          <w:szCs w:val="24"/>
        </w:rPr>
        <w:t>ve</w:t>
      </w:r>
      <w:proofErr w:type="spellEnd"/>
      <w:r w:rsidRPr="00CB41A5">
        <w:rPr>
          <w:b w:val="0"/>
          <w:bCs w:val="0"/>
          <w:color w:val="000000" w:themeColor="text1"/>
          <w:szCs w:val="24"/>
        </w:rPr>
        <w:t xml:space="preserve"> – mycoplasma negative control; H</w:t>
      </w:r>
      <w:r w:rsidRPr="00CB41A5">
        <w:rPr>
          <w:b w:val="0"/>
          <w:bCs w:val="0"/>
          <w:color w:val="000000" w:themeColor="text1"/>
          <w:szCs w:val="24"/>
          <w:vertAlign w:val="subscript"/>
        </w:rPr>
        <w:t>2</w:t>
      </w:r>
      <w:r w:rsidRPr="00CB41A5">
        <w:rPr>
          <w:b w:val="0"/>
          <w:bCs w:val="0"/>
          <w:color w:val="000000" w:themeColor="text1"/>
          <w:szCs w:val="24"/>
        </w:rPr>
        <w:t>O – DNA negative control; LAD – 100bp ladder).</w:t>
      </w:r>
    </w:p>
    <w:p w14:paraId="2A950546" w14:textId="77777777" w:rsidR="000249E0" w:rsidRPr="00CB41A5" w:rsidRDefault="000249E0" w:rsidP="000249E0">
      <w:pPr>
        <w:spacing w:line="480" w:lineRule="auto"/>
        <w:jc w:val="both"/>
        <w:rPr>
          <w:rFonts w:ascii="Palatino Linotype" w:hAnsi="Palatino Linotype"/>
          <w:b/>
          <w:bCs/>
          <w:color w:val="000000" w:themeColor="text1"/>
        </w:rPr>
      </w:pPr>
      <w:r w:rsidRPr="00CB41A5">
        <w:rPr>
          <w:rFonts w:ascii="Palatino Linotype" w:hAnsi="Palatino Linotype"/>
          <w:b/>
          <w:bCs/>
          <w:color w:val="000000" w:themeColor="text1"/>
        </w:rPr>
        <w:t>C.</w:t>
      </w:r>
      <w:r w:rsidRPr="00CB41A5">
        <w:rPr>
          <w:rFonts w:ascii="Palatino Linotype" w:hAnsi="Palatino Linotype"/>
          <w:bCs/>
          <w:iCs/>
        </w:rPr>
        <w:t xml:space="preserve"> The exponential growth equation (solid lines) was applied to the exponential growth phase of the real-time curves (</w:t>
      </w:r>
      <w:r w:rsidRPr="00CB41A5">
        <w:rPr>
          <w:rFonts w:ascii="Palatino Linotype" w:hAnsi="Palatino Linotype"/>
          <w:b/>
          <w:i/>
        </w:rPr>
        <w:t>Figure 1C,</w:t>
      </w:r>
      <w:r w:rsidRPr="00CB41A5">
        <w:rPr>
          <w:rFonts w:ascii="Palatino Linotype" w:hAnsi="Palatino Linotype"/>
          <w:bCs/>
          <w:iCs/>
        </w:rPr>
        <w:t xml:space="preserve"> 24 - 96 hours – dotted lines), demonstrating close alignment with the real time data.</w:t>
      </w:r>
    </w:p>
    <w:p w14:paraId="31F826C5" w14:textId="77777777" w:rsidR="000249E0" w:rsidRPr="00CB41A5" w:rsidRDefault="000249E0" w:rsidP="000249E0">
      <w:pPr>
        <w:spacing w:line="480" w:lineRule="auto"/>
        <w:jc w:val="both"/>
        <w:rPr>
          <w:rFonts w:ascii="Palatino Linotype" w:hAnsi="Palatino Linotype"/>
          <w:b/>
          <w:bCs/>
          <w:color w:val="000000" w:themeColor="text1"/>
        </w:rPr>
      </w:pPr>
      <w:r w:rsidRPr="00CB41A5">
        <w:rPr>
          <w:rFonts w:ascii="Palatino Linotype" w:hAnsi="Palatino Linotype"/>
          <w:b/>
          <w:bCs/>
          <w:color w:val="000000" w:themeColor="text1"/>
        </w:rPr>
        <w:t>D.</w:t>
      </w:r>
      <w:r w:rsidRPr="00CB41A5">
        <w:rPr>
          <w:rFonts w:ascii="Palatino Linotype" w:hAnsi="Palatino Linotype"/>
          <w:bCs/>
          <w:iCs/>
        </w:rPr>
        <w:t xml:space="preserve"> </w:t>
      </w:r>
      <w:r w:rsidRPr="00CB41A5">
        <w:rPr>
          <w:rFonts w:ascii="Palatino Linotype" w:hAnsi="Palatino Linotype"/>
        </w:rPr>
        <w:t>Modelling with linear regression (solid line) after removal of the first 3 hours (experimental setup, cell settling and adherence) of the migration assay (</w:t>
      </w:r>
      <w:r w:rsidRPr="00CB41A5">
        <w:rPr>
          <w:rFonts w:ascii="Palatino Linotype" w:hAnsi="Palatino Linotype"/>
          <w:b/>
          <w:bCs/>
          <w:i/>
          <w:iCs/>
        </w:rPr>
        <w:t>Figure 1D</w:t>
      </w:r>
      <w:r w:rsidRPr="00CB41A5">
        <w:rPr>
          <w:rFonts w:ascii="Palatino Linotype" w:hAnsi="Palatino Linotype"/>
        </w:rPr>
        <w:t>) demonstrates close alignment with the real time data (dotted line).</w:t>
      </w:r>
    </w:p>
    <w:p w14:paraId="17F43354" w14:textId="07B3B369" w:rsidR="000249E0" w:rsidRDefault="000249E0" w:rsidP="000249E0">
      <w:pPr>
        <w:spacing w:line="480" w:lineRule="auto"/>
      </w:pPr>
    </w:p>
    <w:p w14:paraId="13F679EC" w14:textId="77777777" w:rsidR="00312F83" w:rsidRPr="00CB41A5" w:rsidRDefault="00312F83" w:rsidP="000249E0">
      <w:pPr>
        <w:spacing w:line="480" w:lineRule="auto"/>
      </w:pPr>
    </w:p>
    <w:p w14:paraId="0E61D63D" w14:textId="77777777" w:rsidR="000249E0" w:rsidRPr="00CB41A5" w:rsidRDefault="000249E0" w:rsidP="000249E0">
      <w:pPr>
        <w:spacing w:line="480" w:lineRule="auto"/>
        <w:jc w:val="both"/>
        <w:rPr>
          <w:rFonts w:ascii="Palatino Linotype" w:hAnsi="Palatino Linotype"/>
        </w:rPr>
      </w:pPr>
      <w:r w:rsidRPr="00CB41A5">
        <w:rPr>
          <w:rFonts w:ascii="Palatino Linotype" w:hAnsi="Palatino Linotype"/>
          <w:b/>
          <w:bCs/>
        </w:rPr>
        <w:lastRenderedPageBreak/>
        <w:t>Supplementary Figure 2.</w:t>
      </w:r>
      <w:r>
        <w:rPr>
          <w:rFonts w:ascii="Palatino Linotype" w:hAnsi="Palatino Linotype"/>
          <w:b/>
          <w:bCs/>
        </w:rPr>
        <w:t xml:space="preserve">  Whole Exome Sequencing derived Circos Plots for each ASCC Cell Line and Matched Parent Tumours</w:t>
      </w:r>
    </w:p>
    <w:p w14:paraId="5A64A8E4" w14:textId="77777777" w:rsidR="000249E0" w:rsidRPr="00CB41A5" w:rsidRDefault="000249E0" w:rsidP="000249E0">
      <w:pPr>
        <w:spacing w:line="480" w:lineRule="auto"/>
        <w:jc w:val="both"/>
        <w:rPr>
          <w:rFonts w:ascii="Palatino Linotype" w:hAnsi="Palatino Linotype"/>
        </w:rPr>
      </w:pPr>
      <w:r w:rsidRPr="00CB41A5">
        <w:rPr>
          <w:rFonts w:ascii="Palatino Linotype" w:hAnsi="Palatino Linotype"/>
        </w:rPr>
        <w:t>Circos plots demonstrating the single nucleotide variants (SNVs - blue) and small insertion or deletions (Indel - red) for the ASCC cell lines (Outer track, PMAC1-5) and parent tumour (inner track, PMAC2, 3, 5).</w:t>
      </w:r>
    </w:p>
    <w:p w14:paraId="62B01EA6" w14:textId="77777777" w:rsidR="000249E0" w:rsidRPr="00CB41A5" w:rsidRDefault="000249E0" w:rsidP="000249E0">
      <w:pPr>
        <w:spacing w:line="480" w:lineRule="auto"/>
      </w:pPr>
    </w:p>
    <w:p w14:paraId="1994AEC2" w14:textId="77777777" w:rsidR="000249E0" w:rsidRPr="00CB41A5" w:rsidRDefault="000249E0" w:rsidP="000249E0">
      <w:pPr>
        <w:spacing w:line="480" w:lineRule="auto"/>
        <w:jc w:val="both"/>
        <w:rPr>
          <w:rFonts w:ascii="Palatino Linotype" w:hAnsi="Palatino Linotype"/>
          <w:b/>
          <w:bCs/>
          <w:color w:val="000000" w:themeColor="text1"/>
        </w:rPr>
      </w:pPr>
      <w:r w:rsidRPr="00CB41A5">
        <w:rPr>
          <w:rFonts w:ascii="Palatino Linotype" w:hAnsi="Palatino Linotype"/>
          <w:b/>
          <w:bCs/>
          <w:color w:val="000000" w:themeColor="text1"/>
        </w:rPr>
        <w:t>Supplementary Figure 3</w:t>
      </w:r>
      <w:r>
        <w:rPr>
          <w:rFonts w:ascii="Palatino Linotype" w:hAnsi="Palatino Linotype"/>
          <w:b/>
          <w:bCs/>
          <w:color w:val="000000" w:themeColor="text1"/>
        </w:rPr>
        <w:t>.  Somatic Copy Number Analysis for each ASCC Cell Line and Matched Parent Tumours</w:t>
      </w:r>
    </w:p>
    <w:p w14:paraId="780103E4" w14:textId="77777777" w:rsidR="000249E0" w:rsidRDefault="000249E0" w:rsidP="000249E0">
      <w:pPr>
        <w:spacing w:line="480" w:lineRule="auto"/>
        <w:jc w:val="both"/>
        <w:rPr>
          <w:rFonts w:ascii="Palatino Linotype" w:hAnsi="Palatino Linotype"/>
        </w:rPr>
      </w:pPr>
      <w:r w:rsidRPr="00CB41A5">
        <w:rPr>
          <w:rFonts w:ascii="Palatino Linotype" w:hAnsi="Palatino Linotype"/>
        </w:rPr>
        <w:t xml:space="preserve">Copy number analysis for </w:t>
      </w:r>
      <w:r w:rsidRPr="00CB41A5">
        <w:rPr>
          <w:rFonts w:ascii="Palatino Linotype" w:hAnsi="Palatino Linotype"/>
          <w:color w:val="000000" w:themeColor="text1"/>
        </w:rPr>
        <w:t xml:space="preserve">PMAC1, PMAC2, PMAC3, </w:t>
      </w:r>
      <w:r>
        <w:rPr>
          <w:rFonts w:ascii="Palatino Linotype" w:hAnsi="Palatino Linotype"/>
          <w:color w:val="000000" w:themeColor="text1"/>
        </w:rPr>
        <w:t>PM</w:t>
      </w:r>
      <w:r w:rsidRPr="00CB41A5">
        <w:rPr>
          <w:rFonts w:ascii="Palatino Linotype" w:hAnsi="Palatino Linotype"/>
          <w:color w:val="000000" w:themeColor="text1"/>
        </w:rPr>
        <w:t>AC4, and PMAC5</w:t>
      </w:r>
      <w:r w:rsidRPr="00CB41A5">
        <w:rPr>
          <w:rFonts w:ascii="Palatino Linotype" w:hAnsi="Palatino Linotype"/>
        </w:rPr>
        <w:t xml:space="preserve"> cell lines and matched parental tumours</w:t>
      </w:r>
      <w:r w:rsidRPr="00CB41A5">
        <w:rPr>
          <w:rFonts w:ascii="Palatino Linotype" w:hAnsi="Palatino Linotype"/>
          <w:color w:val="000000" w:themeColor="text1"/>
        </w:rPr>
        <w:t xml:space="preserve">. </w:t>
      </w:r>
      <w:r w:rsidRPr="00CB41A5">
        <w:rPr>
          <w:rFonts w:ascii="Palatino Linotype" w:hAnsi="Palatino Linotype"/>
        </w:rPr>
        <w:t xml:space="preserve">The images display the copy number variation for each sample, with the minor copy number (red line) indicating the number of copies of the least frequent allele, and the total copy number (black line) the sum of the major and minor allele counts. The cellular fraction harbouring the copy number variation is displayed in the bottom bar (tan – normal (diploid), shades of blue – estimated fraction; </w:t>
      </w:r>
      <w:proofErr w:type="spellStart"/>
      <w:r w:rsidRPr="00CB41A5">
        <w:rPr>
          <w:rFonts w:ascii="Palatino Linotype" w:hAnsi="Palatino Linotype"/>
        </w:rPr>
        <w:t>cf</w:t>
      </w:r>
      <w:proofErr w:type="spellEnd"/>
      <w:r w:rsidRPr="00CB41A5">
        <w:rPr>
          <w:rFonts w:ascii="Palatino Linotype" w:hAnsi="Palatino Linotype"/>
        </w:rPr>
        <w:t xml:space="preserve"> – cellular fraction, </w:t>
      </w:r>
      <w:proofErr w:type="spellStart"/>
      <w:r w:rsidRPr="00CB41A5">
        <w:rPr>
          <w:rFonts w:ascii="Palatino Linotype" w:hAnsi="Palatino Linotype"/>
        </w:rPr>
        <w:t>em</w:t>
      </w:r>
      <w:proofErr w:type="spellEnd"/>
      <w:r w:rsidRPr="00CB41A5">
        <w:rPr>
          <w:rFonts w:ascii="Palatino Linotype" w:hAnsi="Palatino Linotype"/>
        </w:rPr>
        <w:t xml:space="preserve"> – estimated mean). The top image for each line represents the cell line SCNA and the bottom image the matched parental tumour SCNA. This demonstrates that the cell lines had a greater variation in the SCNA than the matched parent tumour.  For PMAC2, PMAC3 and PMAC5, there was significant overlap in the SCNA between the cell line and the parent tumour.</w:t>
      </w:r>
    </w:p>
    <w:p w14:paraId="59FF439A" w14:textId="71AFFDBE" w:rsidR="000249E0" w:rsidRDefault="000249E0" w:rsidP="000249E0">
      <w:pPr>
        <w:spacing w:line="480" w:lineRule="auto"/>
        <w:jc w:val="both"/>
        <w:rPr>
          <w:rFonts w:ascii="Palatino Linotype" w:hAnsi="Palatino Linotype"/>
        </w:rPr>
      </w:pPr>
    </w:p>
    <w:p w14:paraId="07A645E8" w14:textId="77777777" w:rsidR="00312F83" w:rsidRPr="00CB41A5" w:rsidRDefault="00312F83" w:rsidP="000249E0">
      <w:pPr>
        <w:spacing w:line="480" w:lineRule="auto"/>
        <w:jc w:val="both"/>
        <w:rPr>
          <w:rFonts w:ascii="Palatino Linotype" w:hAnsi="Palatino Linotype"/>
        </w:rPr>
      </w:pPr>
    </w:p>
    <w:p w14:paraId="30D15BDD" w14:textId="77777777" w:rsidR="000249E0" w:rsidRPr="00CB41A5" w:rsidRDefault="000249E0" w:rsidP="000249E0">
      <w:pPr>
        <w:tabs>
          <w:tab w:val="left" w:pos="3708"/>
        </w:tabs>
        <w:spacing w:line="480" w:lineRule="auto"/>
        <w:jc w:val="both"/>
        <w:rPr>
          <w:rFonts w:ascii="Palatino Linotype" w:hAnsi="Palatino Linotype"/>
          <w:b/>
          <w:bCs/>
        </w:rPr>
      </w:pPr>
      <w:r>
        <w:rPr>
          <w:rFonts w:ascii="Palatino Linotype" w:hAnsi="Palatino Linotype"/>
          <w:b/>
          <w:bCs/>
        </w:rPr>
        <w:lastRenderedPageBreak/>
        <w:t xml:space="preserve">Supplementary </w:t>
      </w:r>
      <w:r w:rsidRPr="00CB41A5">
        <w:rPr>
          <w:rFonts w:ascii="Palatino Linotype" w:hAnsi="Palatino Linotype"/>
          <w:b/>
          <w:bCs/>
        </w:rPr>
        <w:t xml:space="preserve">Figure </w:t>
      </w:r>
      <w:r>
        <w:rPr>
          <w:rFonts w:ascii="Palatino Linotype" w:hAnsi="Palatino Linotype"/>
          <w:b/>
          <w:bCs/>
        </w:rPr>
        <w:t>4</w:t>
      </w:r>
      <w:r w:rsidRPr="00CB41A5">
        <w:rPr>
          <w:rFonts w:ascii="Palatino Linotype" w:hAnsi="Palatino Linotype"/>
          <w:b/>
          <w:bCs/>
        </w:rPr>
        <w:t>.  Mutational Trinucleotide Signatures in the ASCC Cell Lines</w:t>
      </w:r>
    </w:p>
    <w:p w14:paraId="6ABDFCDB" w14:textId="77777777" w:rsidR="000249E0" w:rsidRPr="00CB41A5" w:rsidRDefault="000249E0" w:rsidP="000249E0">
      <w:pPr>
        <w:tabs>
          <w:tab w:val="left" w:pos="3708"/>
        </w:tabs>
        <w:spacing w:line="480" w:lineRule="auto"/>
        <w:jc w:val="both"/>
        <w:rPr>
          <w:rFonts w:ascii="Palatino Linotype" w:hAnsi="Palatino Linotype"/>
        </w:rPr>
      </w:pPr>
      <w:r w:rsidRPr="00CB41A5">
        <w:rPr>
          <w:rFonts w:ascii="Palatino Linotype" w:hAnsi="Palatino Linotype"/>
        </w:rPr>
        <w:t xml:space="preserve">The mutational trinucleotide signatures for </w:t>
      </w:r>
      <w:r w:rsidRPr="002A01BC">
        <w:rPr>
          <w:rFonts w:ascii="Palatino Linotype" w:hAnsi="Palatino Linotype"/>
          <w:b/>
          <w:bCs/>
        </w:rPr>
        <w:t>A.</w:t>
      </w:r>
      <w:r w:rsidRPr="00CB41A5">
        <w:rPr>
          <w:rFonts w:ascii="Palatino Linotype" w:hAnsi="Palatino Linotype"/>
        </w:rPr>
        <w:t xml:space="preserve"> PMAC1, </w:t>
      </w:r>
      <w:r w:rsidRPr="002A01BC">
        <w:rPr>
          <w:rFonts w:ascii="Palatino Linotype" w:hAnsi="Palatino Linotype"/>
          <w:b/>
          <w:bCs/>
        </w:rPr>
        <w:t>B.</w:t>
      </w:r>
      <w:r w:rsidRPr="00CB41A5">
        <w:rPr>
          <w:rFonts w:ascii="Palatino Linotype" w:hAnsi="Palatino Linotype"/>
        </w:rPr>
        <w:t xml:space="preserve"> PMAC2, </w:t>
      </w:r>
      <w:r w:rsidRPr="002A01BC">
        <w:rPr>
          <w:rFonts w:ascii="Palatino Linotype" w:hAnsi="Palatino Linotype"/>
          <w:b/>
          <w:bCs/>
        </w:rPr>
        <w:t>C.</w:t>
      </w:r>
      <w:r w:rsidRPr="00CB41A5">
        <w:rPr>
          <w:rFonts w:ascii="Palatino Linotype" w:hAnsi="Palatino Linotype"/>
        </w:rPr>
        <w:t xml:space="preserve"> PMAC3, </w:t>
      </w:r>
      <w:r w:rsidRPr="002A01BC">
        <w:rPr>
          <w:rFonts w:ascii="Palatino Linotype" w:hAnsi="Palatino Linotype"/>
          <w:b/>
          <w:bCs/>
        </w:rPr>
        <w:t>D.</w:t>
      </w:r>
      <w:r w:rsidRPr="00CB41A5">
        <w:rPr>
          <w:rFonts w:ascii="Palatino Linotype" w:hAnsi="Palatino Linotype"/>
        </w:rPr>
        <w:t xml:space="preserve"> PMAC4, and </w:t>
      </w:r>
      <w:r w:rsidRPr="002A01BC">
        <w:rPr>
          <w:rFonts w:ascii="Palatino Linotype" w:hAnsi="Palatino Linotype"/>
          <w:b/>
          <w:bCs/>
        </w:rPr>
        <w:t>E.</w:t>
      </w:r>
      <w:r w:rsidRPr="00CB41A5">
        <w:rPr>
          <w:rFonts w:ascii="Palatino Linotype" w:hAnsi="Palatino Linotype"/>
        </w:rPr>
        <w:t xml:space="preserve"> PMAC5 cell lines as determined from whole exome sequencing analysis. The pie charts demonstrate the relative predominance of mutational signatures present in each cell line based on the fraction of each mutation type demonstrated in the bar graph.</w:t>
      </w:r>
      <w:r w:rsidRPr="00CB41A5">
        <w:rPr>
          <w:rFonts w:ascii="Palatino Linotype" w:hAnsi="Palatino Linotype"/>
          <w:vertAlign w:val="superscript"/>
        </w:rPr>
        <w:t>26</w:t>
      </w:r>
    </w:p>
    <w:p w14:paraId="5FD26C27" w14:textId="77777777" w:rsidR="00DA62F3" w:rsidRDefault="00312F83"/>
    <w:sectPr w:rsidR="00DA62F3" w:rsidSect="009E60B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alatino Linotype">
    <w:panose1 w:val="02040502050505030304"/>
    <w:charset w:val="00"/>
    <w:family w:val="roman"/>
    <w:pitch w:val="variable"/>
    <w:sig w:usb0="E0000287" w:usb1="40000013"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9E0"/>
    <w:rsid w:val="000249E0"/>
    <w:rsid w:val="000868E6"/>
    <w:rsid w:val="000A3361"/>
    <w:rsid w:val="001441F0"/>
    <w:rsid w:val="001F460D"/>
    <w:rsid w:val="002E13CE"/>
    <w:rsid w:val="002F0FF2"/>
    <w:rsid w:val="003020D6"/>
    <w:rsid w:val="00312F83"/>
    <w:rsid w:val="00335449"/>
    <w:rsid w:val="00344817"/>
    <w:rsid w:val="00412657"/>
    <w:rsid w:val="0047413B"/>
    <w:rsid w:val="0056551C"/>
    <w:rsid w:val="00583685"/>
    <w:rsid w:val="00612FB2"/>
    <w:rsid w:val="00676CB8"/>
    <w:rsid w:val="00714534"/>
    <w:rsid w:val="0073060B"/>
    <w:rsid w:val="007400C1"/>
    <w:rsid w:val="00821934"/>
    <w:rsid w:val="008A1AD3"/>
    <w:rsid w:val="008A1B35"/>
    <w:rsid w:val="009439B5"/>
    <w:rsid w:val="009B09FD"/>
    <w:rsid w:val="009B2E58"/>
    <w:rsid w:val="009C4642"/>
    <w:rsid w:val="009D3F8A"/>
    <w:rsid w:val="009E60B1"/>
    <w:rsid w:val="00A334A4"/>
    <w:rsid w:val="00AA5A79"/>
    <w:rsid w:val="00B21236"/>
    <w:rsid w:val="00BC2E47"/>
    <w:rsid w:val="00BF79A3"/>
    <w:rsid w:val="00C032FA"/>
    <w:rsid w:val="00CE2C91"/>
    <w:rsid w:val="00D0246A"/>
    <w:rsid w:val="00D81E38"/>
    <w:rsid w:val="00E70675"/>
    <w:rsid w:val="00EB3338"/>
    <w:rsid w:val="00F34860"/>
    <w:rsid w:val="00F50D37"/>
    <w:rsid w:val="00FE03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5EDDE14"/>
  <w15:chartTrackingRefBased/>
  <w15:docId w15:val="{5DCD6334-F23E-364E-AE22-E9ABB018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9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249E0"/>
    <w:pPr>
      <w:spacing w:after="200"/>
    </w:pPr>
    <w:rPr>
      <w:rFonts w:ascii="Palatino Linotype" w:eastAsiaTheme="minorEastAsia" w:hAnsi="Palatino Linotype"/>
      <w:b/>
      <w:bCs/>
      <w:color w:val="4472C4" w:themeColor="accen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466</Words>
  <Characters>2657</Characters>
  <Application>Microsoft Office Word</Application>
  <DocSecurity>0</DocSecurity>
  <Lines>22</Lines>
  <Paragraphs>6</Paragraphs>
  <ScaleCrop>false</ScaleCrop>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Robert Guerra</dc:creator>
  <cp:keywords/>
  <dc:description/>
  <cp:lastModifiedBy>Glen Robert Guerra</cp:lastModifiedBy>
  <cp:revision>2</cp:revision>
  <dcterms:created xsi:type="dcterms:W3CDTF">2021-01-25T15:25:00Z</dcterms:created>
  <dcterms:modified xsi:type="dcterms:W3CDTF">2021-01-25T15:49:00Z</dcterms:modified>
</cp:coreProperties>
</file>