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3EDF7" w14:textId="77777777" w:rsidR="009F2716" w:rsidRPr="003828B7" w:rsidRDefault="009F2716" w:rsidP="009F2716">
      <w:pPr>
        <w:widowControl/>
        <w:shd w:val="clear" w:color="auto" w:fill="FFFFFF"/>
        <w:spacing w:line="360" w:lineRule="auto"/>
        <w:outlineLvl w:val="2"/>
        <w:rPr>
          <w:rFonts w:cs="Arial"/>
          <w:b/>
          <w:bCs/>
          <w:sz w:val="24"/>
          <w:szCs w:val="24"/>
        </w:rPr>
      </w:pPr>
      <w:r w:rsidRPr="003828B7">
        <w:rPr>
          <w:rFonts w:cs="Arial"/>
          <w:b/>
          <w:bCs/>
          <w:sz w:val="24"/>
          <w:szCs w:val="24"/>
        </w:rPr>
        <w:t>Reagents and antibodies</w:t>
      </w:r>
    </w:p>
    <w:p w14:paraId="59DCF12C" w14:textId="77777777" w:rsidR="009F2716" w:rsidRPr="003828B7" w:rsidRDefault="009F2716" w:rsidP="009F2716">
      <w:pPr>
        <w:widowControl/>
        <w:spacing w:line="360" w:lineRule="auto"/>
        <w:rPr>
          <w:rFonts w:eastAsia="宋体" w:cs="Arial"/>
          <w:bCs/>
          <w:spacing w:val="3"/>
          <w:kern w:val="0"/>
          <w:sz w:val="24"/>
          <w:szCs w:val="24"/>
        </w:rPr>
      </w:pPr>
      <w:r w:rsidRPr="003828B7">
        <w:rPr>
          <w:rFonts w:eastAsia="宋体" w:cs="Arial"/>
          <w:bCs/>
          <w:spacing w:val="3"/>
          <w:kern w:val="0"/>
          <w:sz w:val="24"/>
          <w:szCs w:val="24"/>
        </w:rPr>
        <w:t xml:space="preserve">The chemicals used in this experiments were: </w:t>
      </w:r>
      <w:proofErr w:type="spellStart"/>
      <w:r w:rsidRPr="003828B7">
        <w:rPr>
          <w:rFonts w:eastAsia="宋体" w:cs="Arial"/>
          <w:bCs/>
          <w:spacing w:val="3"/>
          <w:kern w:val="0"/>
          <w:sz w:val="24"/>
          <w:szCs w:val="24"/>
        </w:rPr>
        <w:t>chidamide</w:t>
      </w:r>
      <w:proofErr w:type="spellEnd"/>
      <w:r w:rsidRPr="003828B7">
        <w:rPr>
          <w:rFonts w:eastAsia="宋体" w:cs="Arial"/>
          <w:bCs/>
          <w:spacing w:val="3"/>
          <w:kern w:val="0"/>
          <w:sz w:val="24"/>
          <w:szCs w:val="24"/>
        </w:rPr>
        <w:t xml:space="preserve"> (</w:t>
      </w:r>
      <w:proofErr w:type="spellStart"/>
      <w:r w:rsidRPr="003828B7">
        <w:rPr>
          <w:rFonts w:eastAsia="宋体" w:cs="Arial"/>
          <w:bCs/>
          <w:spacing w:val="3"/>
          <w:kern w:val="0"/>
          <w:sz w:val="24"/>
          <w:szCs w:val="24"/>
        </w:rPr>
        <w:t>Chipscreen</w:t>
      </w:r>
      <w:proofErr w:type="spellEnd"/>
      <w:r w:rsidRPr="003828B7">
        <w:rPr>
          <w:rFonts w:eastAsia="宋体" w:cs="Arial" w:hint="eastAsia"/>
          <w:bCs/>
          <w:spacing w:val="3"/>
          <w:kern w:val="0"/>
          <w:sz w:val="24"/>
          <w:szCs w:val="24"/>
        </w:rPr>
        <w:t>,</w:t>
      </w:r>
      <w:r w:rsidRPr="003828B7">
        <w:t xml:space="preserve"> </w:t>
      </w:r>
      <w:r w:rsidRPr="003828B7">
        <w:rPr>
          <w:rFonts w:eastAsia="宋体" w:cs="Arial"/>
          <w:bCs/>
          <w:spacing w:val="3"/>
          <w:kern w:val="0"/>
          <w:sz w:val="24"/>
          <w:szCs w:val="24"/>
        </w:rPr>
        <w:t xml:space="preserve">450 </w:t>
      </w:r>
      <w:proofErr w:type="spellStart"/>
      <w:r w:rsidRPr="003828B7">
        <w:rPr>
          <w:rFonts w:eastAsia="宋体" w:cs="Arial"/>
          <w:bCs/>
          <w:spacing w:val="3"/>
          <w:kern w:val="0"/>
          <w:sz w:val="24"/>
          <w:szCs w:val="24"/>
        </w:rPr>
        <w:t>Caoyang</w:t>
      </w:r>
      <w:proofErr w:type="spellEnd"/>
      <w:r w:rsidRPr="003828B7">
        <w:rPr>
          <w:rFonts w:eastAsia="宋体" w:cs="Arial"/>
          <w:bCs/>
          <w:spacing w:val="3"/>
          <w:kern w:val="0"/>
          <w:sz w:val="24"/>
          <w:szCs w:val="24"/>
        </w:rPr>
        <w:t xml:space="preserve"> Road, Shanghai), cisplatin (</w:t>
      </w:r>
      <w:proofErr w:type="spellStart"/>
      <w:r w:rsidRPr="003828B7">
        <w:rPr>
          <w:rFonts w:eastAsia="宋体" w:cs="Arial"/>
          <w:bCs/>
          <w:spacing w:val="3"/>
          <w:kern w:val="0"/>
          <w:sz w:val="24"/>
          <w:szCs w:val="24"/>
        </w:rPr>
        <w:t>qilu</w:t>
      </w:r>
      <w:proofErr w:type="spellEnd"/>
      <w:r w:rsidRPr="003828B7">
        <w:rPr>
          <w:rFonts w:eastAsia="宋体" w:cs="Arial"/>
          <w:bCs/>
          <w:spacing w:val="3"/>
          <w:kern w:val="0"/>
          <w:sz w:val="24"/>
          <w:szCs w:val="24"/>
        </w:rPr>
        <w:t>-pharma,</w:t>
      </w:r>
      <w:r w:rsidRPr="003828B7">
        <w:t xml:space="preserve"> </w:t>
      </w:r>
      <w:r w:rsidRPr="003828B7">
        <w:rPr>
          <w:rFonts w:eastAsia="宋体" w:cs="Arial"/>
          <w:bCs/>
          <w:spacing w:val="3"/>
          <w:kern w:val="0"/>
          <w:sz w:val="24"/>
          <w:szCs w:val="24"/>
        </w:rPr>
        <w:t xml:space="preserve">8888 Tourism Road, </w:t>
      </w:r>
      <w:proofErr w:type="spellStart"/>
      <w:r w:rsidRPr="003828B7">
        <w:rPr>
          <w:rFonts w:eastAsia="宋体" w:cs="Arial"/>
          <w:bCs/>
          <w:spacing w:val="3"/>
          <w:kern w:val="0"/>
          <w:sz w:val="24"/>
          <w:szCs w:val="24"/>
        </w:rPr>
        <w:t>Gaoxin</w:t>
      </w:r>
      <w:proofErr w:type="spellEnd"/>
      <w:r w:rsidRPr="003828B7">
        <w:rPr>
          <w:rFonts w:eastAsia="宋体" w:cs="Arial"/>
          <w:bCs/>
          <w:spacing w:val="3"/>
          <w:kern w:val="0"/>
          <w:sz w:val="24"/>
          <w:szCs w:val="24"/>
        </w:rPr>
        <w:t xml:space="preserve"> District, Jinan City), </w:t>
      </w:r>
      <w:proofErr w:type="spellStart"/>
      <w:r w:rsidRPr="003828B7">
        <w:rPr>
          <w:rFonts w:eastAsia="宋体" w:cs="Arial"/>
          <w:bCs/>
          <w:spacing w:val="3"/>
          <w:kern w:val="0"/>
          <w:sz w:val="24"/>
          <w:szCs w:val="24"/>
        </w:rPr>
        <w:t>hcl</w:t>
      </w:r>
      <w:proofErr w:type="spellEnd"/>
      <w:r w:rsidRPr="003828B7">
        <w:rPr>
          <w:rFonts w:eastAsia="宋体" w:cs="Arial"/>
          <w:bCs/>
          <w:spacing w:val="3"/>
          <w:kern w:val="0"/>
          <w:sz w:val="24"/>
          <w:szCs w:val="24"/>
        </w:rPr>
        <w:t>-gemcitabine (</w:t>
      </w:r>
      <w:bookmarkStart w:id="0" w:name="OLE_LINK12"/>
      <w:bookmarkStart w:id="1" w:name="OLE_LINK9"/>
      <w:proofErr w:type="spellStart"/>
      <w:r w:rsidRPr="003828B7">
        <w:rPr>
          <w:rFonts w:eastAsia="宋体" w:cs="Arial"/>
          <w:bCs/>
          <w:spacing w:val="3"/>
          <w:kern w:val="0"/>
          <w:sz w:val="24"/>
          <w:szCs w:val="24"/>
        </w:rPr>
        <w:t>hansoh</w:t>
      </w:r>
      <w:bookmarkEnd w:id="0"/>
      <w:bookmarkEnd w:id="1"/>
      <w:proofErr w:type="spellEnd"/>
      <w:r w:rsidRPr="003828B7">
        <w:rPr>
          <w:rFonts w:eastAsia="宋体" w:cs="Arial"/>
          <w:bCs/>
          <w:spacing w:val="3"/>
          <w:kern w:val="0"/>
          <w:sz w:val="24"/>
          <w:szCs w:val="24"/>
        </w:rPr>
        <w:t>,</w:t>
      </w:r>
      <w:r w:rsidRPr="003828B7">
        <w:t xml:space="preserve"> </w:t>
      </w:r>
      <w:r w:rsidRPr="003828B7">
        <w:rPr>
          <w:rFonts w:eastAsia="宋体" w:cs="Arial"/>
          <w:bCs/>
          <w:spacing w:val="3"/>
          <w:kern w:val="0"/>
          <w:sz w:val="24"/>
          <w:szCs w:val="24"/>
        </w:rPr>
        <w:t xml:space="preserve">9 </w:t>
      </w:r>
      <w:proofErr w:type="spellStart"/>
      <w:r w:rsidRPr="003828B7">
        <w:rPr>
          <w:rFonts w:eastAsia="宋体" w:cs="Arial"/>
          <w:bCs/>
          <w:spacing w:val="3"/>
          <w:kern w:val="0"/>
          <w:sz w:val="24"/>
          <w:szCs w:val="24"/>
        </w:rPr>
        <w:t>Dongjin</w:t>
      </w:r>
      <w:proofErr w:type="spellEnd"/>
      <w:r w:rsidRPr="003828B7">
        <w:rPr>
          <w:rFonts w:eastAsia="宋体" w:cs="Arial"/>
          <w:bCs/>
          <w:spacing w:val="3"/>
          <w:kern w:val="0"/>
          <w:sz w:val="24"/>
          <w:szCs w:val="24"/>
        </w:rPr>
        <w:t xml:space="preserve"> Road, </w:t>
      </w:r>
      <w:proofErr w:type="spellStart"/>
      <w:r w:rsidRPr="003828B7">
        <w:rPr>
          <w:rFonts w:eastAsia="宋体" w:cs="Arial"/>
          <w:bCs/>
          <w:spacing w:val="3"/>
          <w:kern w:val="0"/>
          <w:sz w:val="24"/>
          <w:szCs w:val="24"/>
        </w:rPr>
        <w:t>Huaguoshan</w:t>
      </w:r>
      <w:proofErr w:type="spellEnd"/>
      <w:r w:rsidRPr="003828B7">
        <w:rPr>
          <w:rFonts w:eastAsia="宋体" w:cs="Arial"/>
          <w:bCs/>
          <w:spacing w:val="3"/>
          <w:kern w:val="0"/>
          <w:sz w:val="24"/>
          <w:szCs w:val="24"/>
        </w:rPr>
        <w:t xml:space="preserve"> </w:t>
      </w:r>
      <w:proofErr w:type="spellStart"/>
      <w:r w:rsidRPr="003828B7">
        <w:rPr>
          <w:rFonts w:eastAsia="宋体" w:cs="Arial"/>
          <w:bCs/>
          <w:spacing w:val="3"/>
          <w:kern w:val="0"/>
          <w:sz w:val="24"/>
          <w:szCs w:val="24"/>
        </w:rPr>
        <w:t>Dadao</w:t>
      </w:r>
      <w:proofErr w:type="spellEnd"/>
      <w:r w:rsidRPr="003828B7">
        <w:rPr>
          <w:rFonts w:eastAsia="宋体" w:cs="Arial"/>
          <w:bCs/>
          <w:spacing w:val="3"/>
          <w:kern w:val="0"/>
          <w:sz w:val="24"/>
          <w:szCs w:val="24"/>
        </w:rPr>
        <w:t>, Lianyungang City), etoposide (HENGRUI-pharma,</w:t>
      </w:r>
      <w:r w:rsidRPr="003828B7">
        <w:t xml:space="preserve"> </w:t>
      </w:r>
      <w:r w:rsidRPr="003828B7">
        <w:rPr>
          <w:rFonts w:eastAsia="宋体" w:cs="Arial"/>
          <w:bCs/>
          <w:spacing w:val="3"/>
          <w:kern w:val="0"/>
          <w:sz w:val="24"/>
          <w:szCs w:val="24"/>
        </w:rPr>
        <w:t>7 Kunlun Shan Road, Lianyungang Economic and Technological Development Zone),</w:t>
      </w:r>
      <w:r w:rsidRPr="003828B7">
        <w:rPr>
          <w:rFonts w:cs="Arial"/>
          <w:sz w:val="24"/>
          <w:szCs w:val="24"/>
        </w:rPr>
        <w:t xml:space="preserve"> </w:t>
      </w:r>
      <w:r w:rsidRPr="003828B7">
        <w:rPr>
          <w:rFonts w:eastAsia="宋体" w:cs="Arial"/>
          <w:kern w:val="0"/>
          <w:sz w:val="24"/>
          <w:szCs w:val="24"/>
        </w:rPr>
        <w:t xml:space="preserve">MTT </w:t>
      </w:r>
      <w:r w:rsidRPr="003828B7">
        <w:rPr>
          <w:rFonts w:eastAsia="宋体" w:cs="Arial"/>
          <w:bCs/>
          <w:spacing w:val="3"/>
          <w:kern w:val="0"/>
          <w:sz w:val="24"/>
          <w:szCs w:val="24"/>
        </w:rPr>
        <w:t>(</w:t>
      </w:r>
      <w:bookmarkStart w:id="2" w:name="OLE_LINK15"/>
      <w:bookmarkStart w:id="3" w:name="OLE_LINK16"/>
      <w:proofErr w:type="spellStart"/>
      <w:r w:rsidRPr="003828B7">
        <w:rPr>
          <w:rFonts w:eastAsia="宋体" w:cs="Arial"/>
          <w:bCs/>
          <w:spacing w:val="3"/>
          <w:kern w:val="0"/>
          <w:sz w:val="24"/>
          <w:szCs w:val="24"/>
        </w:rPr>
        <w:t>Amresco</w:t>
      </w:r>
      <w:proofErr w:type="spellEnd"/>
      <w:r w:rsidRPr="003828B7">
        <w:rPr>
          <w:rFonts w:eastAsia="宋体" w:cs="Arial"/>
          <w:bCs/>
          <w:spacing w:val="3"/>
          <w:kern w:val="0"/>
          <w:sz w:val="24"/>
          <w:szCs w:val="24"/>
        </w:rPr>
        <w:t>, 0793</w:t>
      </w:r>
      <w:bookmarkEnd w:id="2"/>
      <w:bookmarkEnd w:id="3"/>
      <w:r w:rsidRPr="003828B7">
        <w:rPr>
          <w:rFonts w:eastAsia="宋体" w:cs="Arial"/>
          <w:bCs/>
          <w:spacing w:val="3"/>
          <w:kern w:val="0"/>
          <w:sz w:val="24"/>
          <w:szCs w:val="24"/>
        </w:rPr>
        <w:t>,</w:t>
      </w:r>
      <w:r w:rsidRPr="003828B7">
        <w:t xml:space="preserve"> </w:t>
      </w:r>
      <w:r w:rsidRPr="003828B7">
        <w:rPr>
          <w:rFonts w:eastAsia="宋体" w:cs="Arial"/>
          <w:bCs/>
          <w:spacing w:val="3"/>
          <w:kern w:val="0"/>
          <w:sz w:val="24"/>
          <w:szCs w:val="24"/>
        </w:rPr>
        <w:t>30175 Solon Industrial Parkway) and AS1842856 (AS184) (MCE, 836620-48-5,</w:t>
      </w:r>
      <w:r w:rsidRPr="003828B7">
        <w:t xml:space="preserve"> </w:t>
      </w:r>
      <w:r w:rsidRPr="003828B7">
        <w:rPr>
          <w:rFonts w:eastAsia="宋体" w:cs="Arial"/>
          <w:bCs/>
          <w:spacing w:val="3"/>
          <w:kern w:val="0"/>
          <w:sz w:val="24"/>
          <w:szCs w:val="24"/>
        </w:rPr>
        <w:t xml:space="preserve">Lane 1999, </w:t>
      </w:r>
      <w:proofErr w:type="spellStart"/>
      <w:r w:rsidRPr="003828B7">
        <w:rPr>
          <w:rFonts w:eastAsia="宋体" w:cs="Arial"/>
          <w:bCs/>
          <w:spacing w:val="3"/>
          <w:kern w:val="0"/>
          <w:sz w:val="24"/>
          <w:szCs w:val="24"/>
        </w:rPr>
        <w:t>Zhangheng</w:t>
      </w:r>
      <w:proofErr w:type="spellEnd"/>
      <w:r w:rsidRPr="003828B7">
        <w:rPr>
          <w:rFonts w:eastAsia="宋体" w:cs="Arial"/>
          <w:bCs/>
          <w:spacing w:val="3"/>
          <w:kern w:val="0"/>
          <w:sz w:val="24"/>
          <w:szCs w:val="24"/>
        </w:rPr>
        <w:t xml:space="preserve"> Road, Pudong New Area, Shanghai),</w:t>
      </w:r>
      <w:r w:rsidRPr="003828B7">
        <w:rPr>
          <w:rFonts w:eastAsia="微软雅黑" w:cs="Arial"/>
          <w:sz w:val="24"/>
          <w:szCs w:val="24"/>
          <w:shd w:val="clear" w:color="auto" w:fill="FFFBD6"/>
        </w:rPr>
        <w:t xml:space="preserve"> </w:t>
      </w:r>
      <w:r w:rsidRPr="003828B7">
        <w:rPr>
          <w:rFonts w:eastAsia="宋体" w:cs="Arial"/>
          <w:bCs/>
          <w:spacing w:val="3"/>
          <w:kern w:val="0"/>
          <w:sz w:val="24"/>
          <w:szCs w:val="24"/>
        </w:rPr>
        <w:t>Propidium iodide (PI) (</w:t>
      </w:r>
      <w:bookmarkStart w:id="4" w:name="OLE_LINK18"/>
      <w:bookmarkStart w:id="5" w:name="OLE_LINK17"/>
      <w:r w:rsidRPr="003828B7">
        <w:rPr>
          <w:rFonts w:eastAsia="宋体" w:cs="Arial"/>
          <w:bCs/>
          <w:spacing w:val="3"/>
          <w:kern w:val="0"/>
          <w:sz w:val="24"/>
          <w:szCs w:val="24"/>
        </w:rPr>
        <w:t>Sigma</w:t>
      </w:r>
      <w:bookmarkEnd w:id="4"/>
      <w:bookmarkEnd w:id="5"/>
      <w:r w:rsidRPr="003828B7">
        <w:rPr>
          <w:rFonts w:eastAsia="宋体" w:cs="Arial"/>
          <w:bCs/>
          <w:spacing w:val="3"/>
          <w:kern w:val="0"/>
          <w:sz w:val="24"/>
          <w:szCs w:val="24"/>
        </w:rPr>
        <w:t>, P4170,</w:t>
      </w:r>
      <w:r w:rsidRPr="003828B7">
        <w:t xml:space="preserve"> </w:t>
      </w:r>
      <w:r w:rsidRPr="003828B7">
        <w:rPr>
          <w:rFonts w:eastAsia="宋体" w:cs="Arial"/>
          <w:bCs/>
          <w:spacing w:val="3"/>
          <w:kern w:val="0"/>
          <w:sz w:val="24"/>
          <w:szCs w:val="24"/>
        </w:rPr>
        <w:t xml:space="preserve">Lane 227, </w:t>
      </w:r>
      <w:proofErr w:type="spellStart"/>
      <w:r w:rsidRPr="003828B7">
        <w:rPr>
          <w:rFonts w:eastAsia="宋体" w:cs="Arial"/>
          <w:bCs/>
          <w:spacing w:val="3"/>
          <w:kern w:val="0"/>
          <w:sz w:val="24"/>
          <w:szCs w:val="24"/>
        </w:rPr>
        <w:t>Dongyu</w:t>
      </w:r>
      <w:proofErr w:type="spellEnd"/>
      <w:r w:rsidRPr="003828B7">
        <w:rPr>
          <w:rFonts w:eastAsia="宋体" w:cs="Arial"/>
          <w:bCs/>
          <w:spacing w:val="3"/>
          <w:kern w:val="0"/>
          <w:sz w:val="24"/>
          <w:szCs w:val="24"/>
        </w:rPr>
        <w:t xml:space="preserve"> Road Pudong New District</w:t>
      </w:r>
      <w:r w:rsidRPr="003828B7">
        <w:rPr>
          <w:rFonts w:eastAsia="宋体" w:cs="Arial" w:hint="eastAsia"/>
          <w:bCs/>
          <w:spacing w:val="3"/>
          <w:kern w:val="0"/>
          <w:sz w:val="24"/>
          <w:szCs w:val="24"/>
        </w:rPr>
        <w:t xml:space="preserve"> </w:t>
      </w:r>
      <w:r w:rsidRPr="003828B7">
        <w:rPr>
          <w:rFonts w:eastAsia="宋体" w:cs="Arial"/>
          <w:bCs/>
          <w:spacing w:val="3"/>
          <w:kern w:val="0"/>
          <w:sz w:val="24"/>
          <w:szCs w:val="24"/>
        </w:rPr>
        <w:t>Shanghai),</w:t>
      </w:r>
      <w:r w:rsidRPr="003828B7">
        <w:rPr>
          <w:rFonts w:cs="Arial"/>
          <w:sz w:val="24"/>
          <w:szCs w:val="24"/>
        </w:rPr>
        <w:t xml:space="preserve"> </w:t>
      </w:r>
      <w:proofErr w:type="spellStart"/>
      <w:r w:rsidRPr="003828B7">
        <w:rPr>
          <w:rFonts w:eastAsia="宋体" w:cs="Arial"/>
          <w:bCs/>
          <w:spacing w:val="3"/>
          <w:kern w:val="0"/>
          <w:sz w:val="24"/>
          <w:szCs w:val="24"/>
        </w:rPr>
        <w:t>matrigel</w:t>
      </w:r>
      <w:proofErr w:type="spellEnd"/>
      <w:r w:rsidRPr="003828B7">
        <w:rPr>
          <w:rFonts w:eastAsia="宋体" w:cs="Arial"/>
          <w:bCs/>
          <w:spacing w:val="3"/>
          <w:kern w:val="0"/>
          <w:sz w:val="24"/>
          <w:szCs w:val="24"/>
        </w:rPr>
        <w:t xml:space="preserve"> (bd </w:t>
      </w:r>
      <w:proofErr w:type="spellStart"/>
      <w:r w:rsidRPr="003828B7">
        <w:rPr>
          <w:rFonts w:eastAsia="宋体" w:cs="Arial"/>
          <w:bCs/>
          <w:spacing w:val="3"/>
          <w:kern w:val="0"/>
          <w:sz w:val="24"/>
          <w:szCs w:val="24"/>
        </w:rPr>
        <w:t>biocoat</w:t>
      </w:r>
      <w:proofErr w:type="spellEnd"/>
      <w:r w:rsidRPr="003828B7">
        <w:rPr>
          <w:rFonts w:eastAsia="宋体" w:cs="Arial"/>
          <w:bCs/>
          <w:spacing w:val="3"/>
          <w:kern w:val="0"/>
          <w:sz w:val="24"/>
          <w:szCs w:val="24"/>
        </w:rPr>
        <w:t>, 354234,</w:t>
      </w:r>
      <w:r w:rsidRPr="003828B7">
        <w:t xml:space="preserve"> </w:t>
      </w:r>
      <w:r w:rsidRPr="003828B7">
        <w:rPr>
          <w:rFonts w:eastAsia="宋体" w:cs="Arial"/>
          <w:bCs/>
          <w:spacing w:val="3"/>
          <w:kern w:val="0"/>
          <w:sz w:val="24"/>
          <w:szCs w:val="24"/>
        </w:rPr>
        <w:t xml:space="preserve">Lane 166, </w:t>
      </w:r>
      <w:proofErr w:type="spellStart"/>
      <w:r w:rsidRPr="003828B7">
        <w:rPr>
          <w:rFonts w:eastAsia="宋体" w:cs="Arial"/>
          <w:bCs/>
          <w:spacing w:val="3"/>
          <w:kern w:val="0"/>
          <w:sz w:val="24"/>
          <w:szCs w:val="24"/>
        </w:rPr>
        <w:t>Tianxiong</w:t>
      </w:r>
      <w:proofErr w:type="spellEnd"/>
      <w:r w:rsidRPr="003828B7">
        <w:rPr>
          <w:rFonts w:eastAsia="宋体" w:cs="Arial"/>
          <w:bCs/>
          <w:spacing w:val="3"/>
          <w:kern w:val="0"/>
          <w:sz w:val="24"/>
          <w:szCs w:val="24"/>
        </w:rPr>
        <w:t xml:space="preserve"> Road, Pudong New Area, Shanghai) and APC-Annexin V (BD Pharmingen, 550474,</w:t>
      </w:r>
      <w:r w:rsidRPr="003828B7">
        <w:t xml:space="preserve"> </w:t>
      </w:r>
      <w:r w:rsidRPr="003828B7">
        <w:rPr>
          <w:rFonts w:eastAsia="宋体" w:cs="Arial"/>
          <w:bCs/>
          <w:spacing w:val="3"/>
          <w:kern w:val="0"/>
          <w:sz w:val="24"/>
          <w:szCs w:val="24"/>
        </w:rPr>
        <w:t xml:space="preserve">75 </w:t>
      </w:r>
      <w:proofErr w:type="spellStart"/>
      <w:r w:rsidRPr="003828B7">
        <w:rPr>
          <w:rFonts w:eastAsia="宋体" w:cs="Arial"/>
          <w:bCs/>
          <w:spacing w:val="3"/>
          <w:kern w:val="0"/>
          <w:sz w:val="24"/>
          <w:szCs w:val="24"/>
        </w:rPr>
        <w:t>Xiilie</w:t>
      </w:r>
      <w:proofErr w:type="spellEnd"/>
      <w:r w:rsidRPr="003828B7">
        <w:rPr>
          <w:rFonts w:eastAsia="宋体" w:cs="Arial"/>
          <w:bCs/>
          <w:spacing w:val="3"/>
          <w:kern w:val="0"/>
          <w:sz w:val="24"/>
          <w:szCs w:val="24"/>
        </w:rPr>
        <w:t xml:space="preserve"> Middle Road, Yuexiu District, Guangzhou)</w:t>
      </w:r>
      <w:r w:rsidRPr="003828B7">
        <w:rPr>
          <w:rFonts w:eastAsia="宋体" w:cs="Arial" w:hint="eastAsia"/>
          <w:kern w:val="0"/>
          <w:sz w:val="24"/>
          <w:szCs w:val="24"/>
        </w:rPr>
        <w:t xml:space="preserve">. </w:t>
      </w:r>
      <w:r w:rsidRPr="003828B7">
        <w:rPr>
          <w:rFonts w:eastAsia="宋体" w:cs="Arial"/>
          <w:bCs/>
          <w:spacing w:val="3"/>
          <w:kern w:val="0"/>
          <w:sz w:val="24"/>
          <w:szCs w:val="24"/>
        </w:rPr>
        <w:t>The antibodies used in our experiments: GAPDH (</w:t>
      </w:r>
      <w:bookmarkStart w:id="6" w:name="OLE_LINK20"/>
      <w:bookmarkStart w:id="7" w:name="OLE_LINK19"/>
      <w:proofErr w:type="spellStart"/>
      <w:r w:rsidRPr="003828B7">
        <w:rPr>
          <w:rFonts w:eastAsia="宋体" w:cs="Arial"/>
          <w:bCs/>
          <w:spacing w:val="3"/>
          <w:kern w:val="0"/>
          <w:sz w:val="24"/>
          <w:szCs w:val="24"/>
        </w:rPr>
        <w:t>proteintech</w:t>
      </w:r>
      <w:bookmarkEnd w:id="6"/>
      <w:bookmarkEnd w:id="7"/>
      <w:proofErr w:type="spellEnd"/>
      <w:r w:rsidRPr="003828B7">
        <w:rPr>
          <w:rFonts w:eastAsia="宋体" w:cs="Arial"/>
          <w:bCs/>
          <w:spacing w:val="3"/>
          <w:kern w:val="0"/>
          <w:sz w:val="24"/>
          <w:szCs w:val="24"/>
        </w:rPr>
        <w:t xml:space="preserve">, 354358, 666 </w:t>
      </w:r>
      <w:proofErr w:type="spellStart"/>
      <w:r w:rsidRPr="003828B7">
        <w:rPr>
          <w:rFonts w:eastAsia="宋体" w:cs="Arial"/>
          <w:bCs/>
          <w:spacing w:val="3"/>
          <w:kern w:val="0"/>
          <w:sz w:val="24"/>
          <w:szCs w:val="24"/>
        </w:rPr>
        <w:t>Gaoxin</w:t>
      </w:r>
      <w:proofErr w:type="spellEnd"/>
      <w:r w:rsidRPr="003828B7">
        <w:rPr>
          <w:rFonts w:eastAsia="宋体" w:cs="Arial"/>
          <w:bCs/>
          <w:spacing w:val="3"/>
          <w:kern w:val="0"/>
          <w:sz w:val="24"/>
          <w:szCs w:val="24"/>
        </w:rPr>
        <w:t xml:space="preserve"> Avenue, East Lake New Technology Development Zone, Wuhan), LC3B (</w:t>
      </w:r>
      <w:bookmarkStart w:id="8" w:name="OLE_LINK21"/>
      <w:bookmarkStart w:id="9" w:name="OLE_LINK22"/>
      <w:r w:rsidRPr="003828B7">
        <w:rPr>
          <w:rFonts w:eastAsia="宋体" w:cs="Arial"/>
          <w:bCs/>
          <w:spacing w:val="3"/>
          <w:kern w:val="0"/>
          <w:sz w:val="24"/>
          <w:szCs w:val="24"/>
        </w:rPr>
        <w:t>Novus Biologicals</w:t>
      </w:r>
      <w:bookmarkEnd w:id="8"/>
      <w:bookmarkEnd w:id="9"/>
      <w:r w:rsidRPr="003828B7">
        <w:rPr>
          <w:rFonts w:eastAsia="宋体" w:cs="Arial"/>
          <w:bCs/>
          <w:spacing w:val="3"/>
          <w:kern w:val="0"/>
          <w:sz w:val="24"/>
          <w:szCs w:val="24"/>
        </w:rPr>
        <w:t>, NB100-2220,</w:t>
      </w:r>
      <w:r w:rsidRPr="003828B7">
        <w:t xml:space="preserve"> </w:t>
      </w:r>
      <w:r w:rsidRPr="003828B7">
        <w:rPr>
          <w:rFonts w:eastAsia="宋体" w:cs="Arial"/>
          <w:bCs/>
          <w:spacing w:val="3"/>
          <w:kern w:val="0"/>
          <w:sz w:val="24"/>
          <w:szCs w:val="24"/>
        </w:rPr>
        <w:t xml:space="preserve">Briarwood Avenue, CO 80112, USA), histone H3 (Cell Signaling Technology, 4499, 399 </w:t>
      </w:r>
      <w:proofErr w:type="spellStart"/>
      <w:r w:rsidRPr="003828B7">
        <w:rPr>
          <w:rFonts w:eastAsia="宋体" w:cs="Arial"/>
          <w:bCs/>
          <w:spacing w:val="3"/>
          <w:kern w:val="0"/>
          <w:sz w:val="24"/>
          <w:szCs w:val="24"/>
        </w:rPr>
        <w:t>Shengxia</w:t>
      </w:r>
      <w:proofErr w:type="spellEnd"/>
      <w:r w:rsidRPr="003828B7">
        <w:rPr>
          <w:rFonts w:eastAsia="宋体" w:cs="Arial"/>
          <w:bCs/>
          <w:spacing w:val="3"/>
          <w:kern w:val="0"/>
          <w:sz w:val="24"/>
          <w:szCs w:val="24"/>
        </w:rPr>
        <w:t xml:space="preserve"> Road, Pudong New Area, Shanghai), Acetyl-Histone H3 (Lys9) (Cell Signaling Technology, 9649), p62 (Cell Signaling Technology, 39749S), CyclinA2 (Cell Signaling Technology, 4656), CyclinB1 (Cell Signaling Technology, 12231T) and Cell Cycle Regulation Antibody Sampler Kit (Cell Signaling Technology, 9932T).</w:t>
      </w:r>
    </w:p>
    <w:p w14:paraId="0C1D1A07" w14:textId="77777777" w:rsidR="009F2716" w:rsidRPr="003828B7" w:rsidRDefault="009F2716" w:rsidP="009F2716">
      <w:pPr>
        <w:widowControl/>
        <w:spacing w:line="360" w:lineRule="auto"/>
        <w:rPr>
          <w:rFonts w:eastAsia="宋体" w:cs="Arial"/>
          <w:bCs/>
          <w:spacing w:val="3"/>
          <w:kern w:val="0"/>
          <w:sz w:val="24"/>
          <w:szCs w:val="24"/>
        </w:rPr>
      </w:pPr>
    </w:p>
    <w:p w14:paraId="537C2761" w14:textId="77777777" w:rsidR="009F2716" w:rsidRPr="003828B7" w:rsidRDefault="009F2716" w:rsidP="009F2716">
      <w:pPr>
        <w:widowControl/>
        <w:shd w:val="clear" w:color="auto" w:fill="FFFFFF"/>
        <w:spacing w:line="360" w:lineRule="auto"/>
        <w:rPr>
          <w:rFonts w:eastAsia="宋体" w:cs="Arial"/>
          <w:b/>
          <w:bCs/>
          <w:spacing w:val="3"/>
          <w:kern w:val="0"/>
          <w:sz w:val="24"/>
          <w:szCs w:val="24"/>
        </w:rPr>
      </w:pPr>
      <w:r w:rsidRPr="003828B7">
        <w:rPr>
          <w:rFonts w:eastAsia="宋体" w:cs="Arial"/>
          <w:b/>
          <w:bCs/>
          <w:spacing w:val="3"/>
          <w:kern w:val="0"/>
          <w:sz w:val="24"/>
          <w:szCs w:val="24"/>
        </w:rPr>
        <w:t>Cell Viability assay (MTT assay)</w:t>
      </w:r>
    </w:p>
    <w:p w14:paraId="5CFF8DDA" w14:textId="77777777" w:rsidR="009F2716" w:rsidRPr="003828B7" w:rsidRDefault="009F2716" w:rsidP="009F2716">
      <w:pPr>
        <w:widowControl/>
        <w:shd w:val="clear" w:color="auto" w:fill="FFFFFF"/>
        <w:spacing w:line="360" w:lineRule="auto"/>
        <w:outlineLvl w:val="2"/>
        <w:rPr>
          <w:rFonts w:eastAsia="宋体" w:cs="Arial"/>
          <w:bCs/>
          <w:spacing w:val="3"/>
          <w:kern w:val="0"/>
          <w:sz w:val="24"/>
          <w:szCs w:val="24"/>
        </w:rPr>
      </w:pPr>
      <w:r w:rsidRPr="003828B7">
        <w:rPr>
          <w:rFonts w:eastAsia="宋体" w:cs="Arial"/>
          <w:bCs/>
          <w:spacing w:val="3"/>
          <w:kern w:val="0"/>
          <w:sz w:val="24"/>
          <w:szCs w:val="24"/>
        </w:rPr>
        <w:lastRenderedPageBreak/>
        <w:t>RSCL, RRCL and patient samples were plated at a cell density of 1 × 10</w:t>
      </w:r>
      <w:r w:rsidRPr="003828B7">
        <w:rPr>
          <w:rFonts w:eastAsia="宋体" w:cs="Arial"/>
          <w:bCs/>
          <w:spacing w:val="3"/>
          <w:kern w:val="0"/>
          <w:sz w:val="24"/>
          <w:szCs w:val="24"/>
          <w:vertAlign w:val="superscript"/>
        </w:rPr>
        <w:t>5</w:t>
      </w:r>
      <w:r w:rsidRPr="003828B7">
        <w:rPr>
          <w:rFonts w:eastAsia="宋体" w:cs="Arial"/>
          <w:bCs/>
          <w:spacing w:val="3"/>
          <w:kern w:val="0"/>
          <w:sz w:val="24"/>
          <w:szCs w:val="24"/>
        </w:rPr>
        <w:t xml:space="preserve"> cells/mL in 96 well plates (50 </w:t>
      </w:r>
      <w:r w:rsidRPr="003828B7">
        <w:rPr>
          <w:rFonts w:cs="Arial"/>
          <w:sz w:val="24"/>
          <w:szCs w:val="24"/>
        </w:rPr>
        <w:t>µ</w:t>
      </w:r>
      <w:r w:rsidRPr="003828B7">
        <w:rPr>
          <w:rFonts w:eastAsia="宋体" w:cs="Arial"/>
          <w:bCs/>
          <w:spacing w:val="3"/>
          <w:kern w:val="0"/>
          <w:sz w:val="24"/>
          <w:szCs w:val="24"/>
        </w:rPr>
        <w:t xml:space="preserve">L/well) and were exposed to different concentrations of </w:t>
      </w:r>
      <w:proofErr w:type="spellStart"/>
      <w:r w:rsidRPr="003828B7">
        <w:rPr>
          <w:rFonts w:eastAsia="宋体" w:cs="Arial"/>
          <w:bCs/>
          <w:spacing w:val="3"/>
          <w:kern w:val="0"/>
          <w:sz w:val="24"/>
          <w:szCs w:val="24"/>
        </w:rPr>
        <w:t>chidamide</w:t>
      </w:r>
      <w:proofErr w:type="spellEnd"/>
      <w:r w:rsidRPr="003828B7">
        <w:rPr>
          <w:rFonts w:eastAsia="宋体" w:cs="Arial"/>
          <w:bCs/>
          <w:spacing w:val="3"/>
          <w:kern w:val="0"/>
          <w:sz w:val="24"/>
          <w:szCs w:val="24"/>
        </w:rPr>
        <w:t xml:space="preserve">, etoposide, </w:t>
      </w:r>
      <w:proofErr w:type="gramStart"/>
      <w:r w:rsidRPr="003828B7">
        <w:rPr>
          <w:rFonts w:eastAsia="宋体" w:cs="Arial"/>
          <w:bCs/>
          <w:spacing w:val="3"/>
          <w:kern w:val="0"/>
          <w:sz w:val="24"/>
          <w:szCs w:val="24"/>
        </w:rPr>
        <w:t>cisplatin</w:t>
      </w:r>
      <w:proofErr w:type="gramEnd"/>
      <w:r w:rsidRPr="003828B7">
        <w:rPr>
          <w:rFonts w:eastAsia="宋体" w:cs="Arial"/>
          <w:bCs/>
          <w:spacing w:val="3"/>
          <w:kern w:val="0"/>
          <w:sz w:val="24"/>
          <w:szCs w:val="24"/>
        </w:rPr>
        <w:t xml:space="preserve"> and </w:t>
      </w:r>
      <w:proofErr w:type="spellStart"/>
      <w:r w:rsidRPr="003828B7">
        <w:rPr>
          <w:rFonts w:eastAsia="宋体" w:cs="Arial"/>
          <w:bCs/>
          <w:spacing w:val="3"/>
          <w:kern w:val="0"/>
          <w:sz w:val="24"/>
          <w:szCs w:val="24"/>
        </w:rPr>
        <w:t>hcl</w:t>
      </w:r>
      <w:proofErr w:type="spellEnd"/>
      <w:r w:rsidRPr="003828B7">
        <w:rPr>
          <w:rFonts w:eastAsia="宋体" w:cs="Arial"/>
          <w:bCs/>
          <w:spacing w:val="3"/>
          <w:kern w:val="0"/>
          <w:sz w:val="24"/>
          <w:szCs w:val="24"/>
        </w:rPr>
        <w:t xml:space="preserve">-gemcitabine, either alone or in combinations. 0.1 mg MTT was added to each well. After the incubation at 37°C for 4 hours, formazan was decomposed by 50 </w:t>
      </w:r>
      <w:r w:rsidRPr="003828B7">
        <w:rPr>
          <w:rFonts w:cs="Arial"/>
          <w:sz w:val="24"/>
          <w:szCs w:val="24"/>
        </w:rPr>
        <w:t>µ</w:t>
      </w:r>
      <w:r w:rsidRPr="003828B7">
        <w:rPr>
          <w:rFonts w:eastAsia="宋体" w:cs="Arial"/>
          <w:bCs/>
          <w:spacing w:val="3"/>
          <w:kern w:val="0"/>
          <w:sz w:val="24"/>
          <w:szCs w:val="24"/>
        </w:rPr>
        <w:t>L triple lysis buffer (10 % SDS, 5 %</w:t>
      </w:r>
      <w:r w:rsidRPr="003828B7">
        <w:rPr>
          <w:rFonts w:cs="Arial"/>
          <w:sz w:val="24"/>
          <w:szCs w:val="24"/>
        </w:rPr>
        <w:t xml:space="preserve"> </w:t>
      </w:r>
      <w:r w:rsidRPr="003828B7">
        <w:rPr>
          <w:rFonts w:eastAsia="宋体" w:cs="Arial"/>
          <w:bCs/>
          <w:spacing w:val="3"/>
          <w:kern w:val="0"/>
          <w:sz w:val="24"/>
          <w:szCs w:val="24"/>
        </w:rPr>
        <w:t xml:space="preserve">isopropanol and 0.012M HCL) overnight and then the absorbance was measured at 562 nm by spectrophotometry. </w:t>
      </w:r>
    </w:p>
    <w:p w14:paraId="52F1C753" w14:textId="77777777" w:rsidR="009F2716" w:rsidRPr="003828B7" w:rsidRDefault="009F2716" w:rsidP="009F2716">
      <w:pPr>
        <w:widowControl/>
        <w:shd w:val="clear" w:color="auto" w:fill="FFFFFF"/>
        <w:spacing w:line="360" w:lineRule="auto"/>
        <w:outlineLvl w:val="2"/>
        <w:rPr>
          <w:rFonts w:eastAsia="宋体" w:cs="Arial"/>
          <w:bCs/>
          <w:spacing w:val="3"/>
          <w:kern w:val="0"/>
          <w:sz w:val="24"/>
          <w:szCs w:val="24"/>
        </w:rPr>
      </w:pPr>
    </w:p>
    <w:p w14:paraId="2078A0E8" w14:textId="77777777" w:rsidR="009F2716" w:rsidRPr="003828B7" w:rsidRDefault="009F2716" w:rsidP="009F2716">
      <w:pPr>
        <w:widowControl/>
        <w:shd w:val="clear" w:color="auto" w:fill="FFFFFF"/>
        <w:spacing w:line="360" w:lineRule="auto"/>
        <w:rPr>
          <w:rFonts w:eastAsia="宋体" w:cs="Arial"/>
          <w:b/>
          <w:bCs/>
          <w:spacing w:val="3"/>
          <w:kern w:val="0"/>
          <w:sz w:val="24"/>
          <w:szCs w:val="24"/>
        </w:rPr>
      </w:pPr>
    </w:p>
    <w:p w14:paraId="4EC1B162" w14:textId="77777777" w:rsidR="009F2716" w:rsidRPr="003828B7" w:rsidRDefault="009F2716" w:rsidP="009F2716">
      <w:pPr>
        <w:widowControl/>
        <w:shd w:val="clear" w:color="auto" w:fill="FFFFFF"/>
        <w:spacing w:line="360" w:lineRule="auto"/>
        <w:rPr>
          <w:rFonts w:eastAsia="宋体" w:cs="Arial"/>
          <w:b/>
          <w:bCs/>
          <w:spacing w:val="3"/>
          <w:kern w:val="0"/>
          <w:sz w:val="24"/>
          <w:szCs w:val="24"/>
        </w:rPr>
      </w:pPr>
      <w:proofErr w:type="spellStart"/>
      <w:r w:rsidRPr="003828B7">
        <w:rPr>
          <w:rFonts w:eastAsia="宋体" w:cs="Arial"/>
          <w:b/>
          <w:bCs/>
          <w:spacing w:val="3"/>
          <w:kern w:val="0"/>
          <w:sz w:val="24"/>
          <w:szCs w:val="24"/>
        </w:rPr>
        <w:t>Isobolographic</w:t>
      </w:r>
      <w:proofErr w:type="spellEnd"/>
      <w:r w:rsidRPr="003828B7">
        <w:rPr>
          <w:rFonts w:eastAsia="宋体" w:cs="Arial"/>
          <w:b/>
          <w:bCs/>
          <w:spacing w:val="3"/>
          <w:kern w:val="0"/>
          <w:sz w:val="24"/>
          <w:szCs w:val="24"/>
        </w:rPr>
        <w:t xml:space="preserve"> analysis</w:t>
      </w:r>
    </w:p>
    <w:p w14:paraId="77BED2EA" w14:textId="77777777" w:rsidR="009F2716" w:rsidRPr="003828B7" w:rsidRDefault="009F2716" w:rsidP="009F2716">
      <w:pPr>
        <w:widowControl/>
        <w:shd w:val="clear" w:color="auto" w:fill="FFFFFF"/>
        <w:spacing w:line="360" w:lineRule="auto"/>
        <w:outlineLvl w:val="2"/>
        <w:rPr>
          <w:rFonts w:eastAsia="宋体" w:cs="Arial"/>
          <w:bCs/>
          <w:spacing w:val="3"/>
          <w:kern w:val="0"/>
          <w:sz w:val="24"/>
          <w:szCs w:val="24"/>
        </w:rPr>
      </w:pPr>
      <w:r w:rsidRPr="003828B7">
        <w:rPr>
          <w:rFonts w:eastAsia="宋体" w:cs="Arial"/>
          <w:bCs/>
          <w:spacing w:val="3"/>
          <w:kern w:val="0"/>
          <w:sz w:val="24"/>
          <w:szCs w:val="24"/>
        </w:rPr>
        <w:t xml:space="preserve">Determination of the synergistic of etoposide, cisplatin, </w:t>
      </w:r>
      <w:proofErr w:type="spellStart"/>
      <w:r w:rsidRPr="003828B7">
        <w:rPr>
          <w:rFonts w:eastAsia="宋体" w:cs="Arial"/>
          <w:bCs/>
          <w:spacing w:val="3"/>
          <w:kern w:val="0"/>
          <w:sz w:val="24"/>
          <w:szCs w:val="24"/>
        </w:rPr>
        <w:t>hcl</w:t>
      </w:r>
      <w:proofErr w:type="spellEnd"/>
      <w:r w:rsidRPr="003828B7">
        <w:rPr>
          <w:rFonts w:eastAsia="宋体" w:cs="Arial"/>
          <w:bCs/>
          <w:spacing w:val="3"/>
          <w:kern w:val="0"/>
          <w:sz w:val="24"/>
          <w:szCs w:val="24"/>
        </w:rPr>
        <w:t xml:space="preserve">-gemcitabine, Dox and </w:t>
      </w:r>
      <w:proofErr w:type="spellStart"/>
      <w:r w:rsidRPr="003828B7">
        <w:rPr>
          <w:rFonts w:eastAsia="宋体" w:cs="Arial"/>
          <w:bCs/>
          <w:spacing w:val="3"/>
          <w:kern w:val="0"/>
          <w:sz w:val="24"/>
          <w:szCs w:val="24"/>
        </w:rPr>
        <w:t>chidamide</w:t>
      </w:r>
      <w:proofErr w:type="spellEnd"/>
      <w:r w:rsidRPr="003828B7">
        <w:rPr>
          <w:rFonts w:eastAsia="宋体" w:cs="Arial"/>
          <w:bCs/>
          <w:spacing w:val="3"/>
          <w:kern w:val="0"/>
          <w:sz w:val="24"/>
          <w:szCs w:val="24"/>
        </w:rPr>
        <w:t xml:space="preserve"> was performed by the combination index (CI) method described by Chou and </w:t>
      </w:r>
      <w:proofErr w:type="spellStart"/>
      <w:r w:rsidRPr="003828B7">
        <w:rPr>
          <w:rFonts w:eastAsia="宋体" w:cs="Arial"/>
          <w:bCs/>
          <w:spacing w:val="3"/>
          <w:kern w:val="0"/>
          <w:sz w:val="24"/>
          <w:szCs w:val="24"/>
        </w:rPr>
        <w:t>Talalay</w:t>
      </w:r>
      <w:proofErr w:type="spellEnd"/>
      <w:r w:rsidRPr="003828B7">
        <w:rPr>
          <w:rFonts w:eastAsia="宋体" w:cs="Arial"/>
          <w:bCs/>
          <w:spacing w:val="3"/>
          <w:kern w:val="0"/>
          <w:sz w:val="24"/>
          <w:szCs w:val="24"/>
        </w:rPr>
        <w:t xml:space="preserve"> (</w:t>
      </w:r>
      <w:proofErr w:type="spellStart"/>
      <w:r w:rsidRPr="003828B7">
        <w:rPr>
          <w:rFonts w:eastAsia="宋体" w:cs="Arial"/>
          <w:bCs/>
          <w:spacing w:val="3"/>
          <w:kern w:val="0"/>
          <w:sz w:val="24"/>
          <w:szCs w:val="24"/>
        </w:rPr>
        <w:t>CalcuSyn</w:t>
      </w:r>
      <w:proofErr w:type="spellEnd"/>
      <w:r w:rsidRPr="003828B7">
        <w:rPr>
          <w:rFonts w:eastAsia="宋体" w:cs="Arial"/>
          <w:bCs/>
          <w:spacing w:val="3"/>
          <w:kern w:val="0"/>
          <w:sz w:val="24"/>
          <w:szCs w:val="24"/>
        </w:rPr>
        <w:t xml:space="preserve"> software, </w:t>
      </w:r>
      <w:proofErr w:type="spellStart"/>
      <w:r w:rsidRPr="003828B7">
        <w:rPr>
          <w:rFonts w:eastAsia="宋体" w:cs="Arial"/>
          <w:bCs/>
          <w:spacing w:val="3"/>
          <w:kern w:val="0"/>
          <w:sz w:val="24"/>
          <w:szCs w:val="24"/>
        </w:rPr>
        <w:t>Biosoft</w:t>
      </w:r>
      <w:proofErr w:type="spellEnd"/>
      <w:r w:rsidRPr="003828B7">
        <w:rPr>
          <w:rFonts w:eastAsia="宋体" w:cs="Arial"/>
          <w:bCs/>
          <w:spacing w:val="3"/>
          <w:kern w:val="0"/>
          <w:sz w:val="24"/>
          <w:szCs w:val="24"/>
        </w:rPr>
        <w:t xml:space="preserve">). When at least 80 % of CI values for a combination were less than one, the drug combination </w:t>
      </w:r>
      <w:proofErr w:type="gramStart"/>
      <w:r w:rsidRPr="003828B7">
        <w:rPr>
          <w:rFonts w:eastAsia="宋体" w:cs="Arial"/>
          <w:bCs/>
          <w:spacing w:val="3"/>
          <w:kern w:val="0"/>
          <w:sz w:val="24"/>
          <w:szCs w:val="24"/>
        </w:rPr>
        <w:t>was considered to be</w:t>
      </w:r>
      <w:proofErr w:type="gramEnd"/>
      <w:r w:rsidRPr="003828B7">
        <w:rPr>
          <w:rFonts w:eastAsia="宋体" w:cs="Arial"/>
          <w:bCs/>
          <w:spacing w:val="3"/>
          <w:kern w:val="0"/>
          <w:sz w:val="24"/>
          <w:szCs w:val="24"/>
        </w:rPr>
        <w:t xml:space="preserve"> synergistic.</w:t>
      </w:r>
    </w:p>
    <w:p w14:paraId="6EAE64CC" w14:textId="77777777" w:rsidR="009F2716" w:rsidRPr="003828B7" w:rsidRDefault="009F2716" w:rsidP="009F2716">
      <w:pPr>
        <w:widowControl/>
        <w:shd w:val="clear" w:color="auto" w:fill="FFFFFF"/>
        <w:spacing w:line="360" w:lineRule="auto"/>
        <w:outlineLvl w:val="2"/>
        <w:rPr>
          <w:rFonts w:eastAsia="宋体" w:cs="Arial"/>
          <w:bCs/>
          <w:spacing w:val="3"/>
          <w:kern w:val="0"/>
          <w:sz w:val="24"/>
          <w:szCs w:val="24"/>
        </w:rPr>
      </w:pPr>
    </w:p>
    <w:p w14:paraId="335DE7D0" w14:textId="77777777" w:rsidR="009F2716" w:rsidRPr="003828B7" w:rsidRDefault="009F2716" w:rsidP="009F2716">
      <w:pPr>
        <w:widowControl/>
        <w:shd w:val="clear" w:color="auto" w:fill="FFFFFF"/>
        <w:spacing w:line="360" w:lineRule="auto"/>
        <w:outlineLvl w:val="2"/>
        <w:rPr>
          <w:rFonts w:eastAsia="宋体" w:cs="Arial"/>
          <w:b/>
          <w:bCs/>
          <w:spacing w:val="3"/>
          <w:kern w:val="0"/>
          <w:sz w:val="24"/>
          <w:szCs w:val="24"/>
        </w:rPr>
      </w:pPr>
      <w:r w:rsidRPr="003828B7">
        <w:rPr>
          <w:rFonts w:eastAsia="宋体" w:cs="Arial"/>
          <w:b/>
          <w:bCs/>
          <w:spacing w:val="3"/>
          <w:kern w:val="0"/>
          <w:sz w:val="24"/>
          <w:szCs w:val="24"/>
        </w:rPr>
        <w:t>Lentivirus production and infection</w:t>
      </w:r>
    </w:p>
    <w:p w14:paraId="3492DA39" w14:textId="77777777" w:rsidR="009F2716" w:rsidRPr="003828B7" w:rsidRDefault="009F2716" w:rsidP="009F2716">
      <w:pPr>
        <w:widowControl/>
        <w:shd w:val="clear" w:color="auto" w:fill="FFFFFF"/>
        <w:spacing w:line="360" w:lineRule="auto"/>
        <w:outlineLvl w:val="2"/>
        <w:rPr>
          <w:rFonts w:cs="Arial"/>
          <w:sz w:val="24"/>
          <w:szCs w:val="24"/>
        </w:rPr>
      </w:pPr>
      <w:r w:rsidRPr="003828B7">
        <w:rPr>
          <w:rFonts w:eastAsia="宋体" w:cs="Arial"/>
          <w:b/>
          <w:bCs/>
          <w:spacing w:val="3"/>
          <w:kern w:val="0"/>
          <w:sz w:val="24"/>
          <w:szCs w:val="24"/>
        </w:rPr>
        <w:t> </w:t>
      </w:r>
      <w:bookmarkStart w:id="10" w:name="_Hlk507576862"/>
      <w:proofErr w:type="gramStart"/>
      <w:r w:rsidRPr="003828B7">
        <w:rPr>
          <w:rFonts w:cs="Arial"/>
          <w:sz w:val="24"/>
          <w:szCs w:val="24"/>
        </w:rPr>
        <w:t>For the production of</w:t>
      </w:r>
      <w:proofErr w:type="gramEnd"/>
      <w:r w:rsidRPr="003828B7">
        <w:rPr>
          <w:rFonts w:cs="Arial"/>
          <w:sz w:val="24"/>
          <w:szCs w:val="24"/>
        </w:rPr>
        <w:t xml:space="preserve"> lentivirus, 293T cells were transfected with gene plasmids (PIG, shBTG1-1 or shBTG1-2) and packaging plasmids (pspax2 and pMD2G) by</w:t>
      </w:r>
      <w:bookmarkEnd w:id="10"/>
      <w:r w:rsidRPr="003828B7">
        <w:rPr>
          <w:rFonts w:cs="Arial"/>
          <w:sz w:val="24"/>
          <w:szCs w:val="24"/>
        </w:rPr>
        <w:t xml:space="preserve"> calcium phosphate-DNA coprecipitation. Virus supernatants were collected at 48, 72 and 96 hours after transfection and filtered with 0.45 </w:t>
      </w:r>
      <w:proofErr w:type="spellStart"/>
      <w:r w:rsidRPr="003828B7">
        <w:rPr>
          <w:rFonts w:eastAsia="宋体" w:cs="Arial"/>
          <w:spacing w:val="3"/>
          <w:kern w:val="0"/>
          <w:sz w:val="24"/>
          <w:szCs w:val="24"/>
        </w:rPr>
        <w:t>μ</w:t>
      </w:r>
      <w:r w:rsidRPr="003828B7">
        <w:rPr>
          <w:rFonts w:cs="Arial"/>
          <w:sz w:val="24"/>
          <w:szCs w:val="24"/>
        </w:rPr>
        <w:t>M</w:t>
      </w:r>
      <w:proofErr w:type="spellEnd"/>
      <w:r w:rsidRPr="003828B7">
        <w:rPr>
          <w:rFonts w:cs="Arial"/>
          <w:sz w:val="24"/>
          <w:szCs w:val="24"/>
        </w:rPr>
        <w:t xml:space="preserve"> sterile </w:t>
      </w:r>
      <w:proofErr w:type="spellStart"/>
      <w:r w:rsidRPr="003828B7">
        <w:rPr>
          <w:rFonts w:cs="Arial"/>
          <w:sz w:val="24"/>
          <w:szCs w:val="24"/>
        </w:rPr>
        <w:t>millex</w:t>
      </w:r>
      <w:proofErr w:type="spellEnd"/>
      <w:r w:rsidRPr="003828B7">
        <w:rPr>
          <w:rFonts w:cs="Arial"/>
          <w:sz w:val="24"/>
          <w:szCs w:val="24"/>
        </w:rPr>
        <w:t xml:space="preserve"> filters. 5 x 10</w:t>
      </w:r>
      <w:r w:rsidRPr="003828B7">
        <w:rPr>
          <w:rFonts w:cs="Arial"/>
          <w:sz w:val="24"/>
          <w:szCs w:val="24"/>
          <w:vertAlign w:val="superscript"/>
        </w:rPr>
        <w:t xml:space="preserve">5 </w:t>
      </w:r>
      <w:r w:rsidRPr="003828B7">
        <w:rPr>
          <w:rFonts w:cs="Arial"/>
          <w:sz w:val="24"/>
          <w:szCs w:val="24"/>
        </w:rPr>
        <w:t xml:space="preserve">Raji-4RH cells were infected with 1 mL fresh filtered virus supernatant and 8 </w:t>
      </w:r>
      <w:proofErr w:type="spellStart"/>
      <w:r w:rsidRPr="003828B7">
        <w:rPr>
          <w:rFonts w:eastAsia="宋体" w:cs="Arial"/>
          <w:spacing w:val="3"/>
          <w:kern w:val="0"/>
          <w:sz w:val="24"/>
          <w:szCs w:val="24"/>
        </w:rPr>
        <w:lastRenderedPageBreak/>
        <w:t>μ</w:t>
      </w:r>
      <w:r w:rsidRPr="003828B7">
        <w:rPr>
          <w:rFonts w:cs="Arial"/>
          <w:sz w:val="24"/>
          <w:szCs w:val="24"/>
        </w:rPr>
        <w:t>g</w:t>
      </w:r>
      <w:proofErr w:type="spellEnd"/>
      <w:r w:rsidRPr="003828B7">
        <w:rPr>
          <w:rFonts w:cs="Arial"/>
          <w:sz w:val="24"/>
          <w:szCs w:val="24"/>
        </w:rPr>
        <w:t xml:space="preserve">/mL of Polybrene (Sigma), then centrifuged at 1500 rpm for 60 minutes at room temperature. The medium was changed 12 to 20 hours after virus infection. </w:t>
      </w:r>
    </w:p>
    <w:p w14:paraId="00CA9760" w14:textId="77777777" w:rsidR="009F2716" w:rsidRPr="003828B7" w:rsidRDefault="009F2716" w:rsidP="009F2716">
      <w:pPr>
        <w:widowControl/>
        <w:shd w:val="clear" w:color="auto" w:fill="FFFFFF"/>
        <w:spacing w:line="360" w:lineRule="auto"/>
        <w:outlineLvl w:val="2"/>
        <w:rPr>
          <w:rFonts w:cs="Arial"/>
          <w:sz w:val="24"/>
          <w:szCs w:val="24"/>
        </w:rPr>
      </w:pPr>
    </w:p>
    <w:p w14:paraId="771DE91B" w14:textId="77777777" w:rsidR="009F2716" w:rsidRPr="003828B7" w:rsidRDefault="009F2716" w:rsidP="009F2716">
      <w:pPr>
        <w:widowControl/>
        <w:shd w:val="clear" w:color="auto" w:fill="FFFFFF"/>
        <w:spacing w:line="360" w:lineRule="auto"/>
        <w:rPr>
          <w:rFonts w:eastAsia="宋体" w:cs="Arial"/>
          <w:b/>
          <w:bCs/>
          <w:spacing w:val="3"/>
          <w:kern w:val="0"/>
          <w:sz w:val="24"/>
          <w:szCs w:val="24"/>
        </w:rPr>
      </w:pPr>
      <w:r w:rsidRPr="003828B7">
        <w:rPr>
          <w:rFonts w:eastAsia="宋体" w:cs="Arial"/>
          <w:b/>
          <w:bCs/>
          <w:spacing w:val="3"/>
          <w:kern w:val="0"/>
          <w:sz w:val="24"/>
          <w:szCs w:val="24"/>
        </w:rPr>
        <w:t xml:space="preserve">ShRNA mediated gene knockdown </w:t>
      </w:r>
    </w:p>
    <w:p w14:paraId="5184A998" w14:textId="77777777" w:rsidR="009F2716" w:rsidRPr="003828B7" w:rsidRDefault="009F2716" w:rsidP="009F2716">
      <w:pPr>
        <w:widowControl/>
        <w:spacing w:line="360" w:lineRule="auto"/>
        <w:rPr>
          <w:rFonts w:eastAsia="宋体" w:cs="Arial"/>
          <w:bCs/>
          <w:spacing w:val="3"/>
          <w:kern w:val="0"/>
          <w:sz w:val="24"/>
          <w:szCs w:val="24"/>
        </w:rPr>
      </w:pPr>
      <w:r w:rsidRPr="003828B7">
        <w:rPr>
          <w:rFonts w:eastAsia="宋体" w:cs="Arial"/>
          <w:spacing w:val="3"/>
          <w:kern w:val="0"/>
          <w:sz w:val="24"/>
          <w:szCs w:val="24"/>
        </w:rPr>
        <w:t xml:space="preserve">The BTG1 </w:t>
      </w:r>
      <w:proofErr w:type="spellStart"/>
      <w:r w:rsidRPr="003828B7">
        <w:rPr>
          <w:rFonts w:eastAsia="宋体" w:cs="Arial"/>
          <w:spacing w:val="3"/>
          <w:kern w:val="0"/>
          <w:sz w:val="24"/>
          <w:szCs w:val="24"/>
        </w:rPr>
        <w:t>shRNAs</w:t>
      </w:r>
      <w:proofErr w:type="spellEnd"/>
      <w:r w:rsidRPr="003828B7">
        <w:rPr>
          <w:rFonts w:eastAsia="宋体" w:cs="Arial"/>
          <w:spacing w:val="3"/>
          <w:kern w:val="0"/>
          <w:sz w:val="24"/>
          <w:szCs w:val="24"/>
        </w:rPr>
        <w:t xml:space="preserve"> were constructed with shRNA-sequences from GPP Web Portal. Virus preparation and cell infection were performed as described above. The efficiency of knockdown </w:t>
      </w:r>
      <w:proofErr w:type="gramStart"/>
      <w:r w:rsidRPr="003828B7">
        <w:rPr>
          <w:rFonts w:eastAsia="宋体" w:cs="Arial"/>
          <w:spacing w:val="3"/>
          <w:kern w:val="0"/>
          <w:sz w:val="24"/>
          <w:szCs w:val="24"/>
        </w:rPr>
        <w:t>were</w:t>
      </w:r>
      <w:proofErr w:type="gramEnd"/>
      <w:r w:rsidRPr="003828B7">
        <w:rPr>
          <w:rFonts w:eastAsia="宋体" w:cs="Arial"/>
          <w:spacing w:val="3"/>
          <w:kern w:val="0"/>
          <w:sz w:val="24"/>
          <w:szCs w:val="24"/>
        </w:rPr>
        <w:t xml:space="preserve"> measured by Q-PCR 4 days after infection.</w:t>
      </w:r>
      <w:r w:rsidRPr="003828B7">
        <w:rPr>
          <w:rFonts w:eastAsia="宋体" w:cs="Arial"/>
          <w:bCs/>
          <w:spacing w:val="3"/>
          <w:kern w:val="0"/>
          <w:sz w:val="24"/>
          <w:szCs w:val="24"/>
        </w:rPr>
        <w:t xml:space="preserve"> The sequences of shRNA used were given in supplementary Table 1.</w:t>
      </w:r>
    </w:p>
    <w:p w14:paraId="696B0A1A" w14:textId="77777777" w:rsidR="009F2716" w:rsidRPr="003828B7" w:rsidRDefault="009F2716" w:rsidP="009F2716">
      <w:pPr>
        <w:widowControl/>
        <w:spacing w:line="360" w:lineRule="auto"/>
        <w:rPr>
          <w:rFonts w:eastAsia="宋体" w:cs="Arial"/>
          <w:bCs/>
          <w:spacing w:val="3"/>
          <w:kern w:val="0"/>
          <w:sz w:val="24"/>
          <w:szCs w:val="24"/>
        </w:rPr>
      </w:pPr>
    </w:p>
    <w:p w14:paraId="4A6F7823" w14:textId="77777777" w:rsidR="009F2716" w:rsidRPr="003828B7" w:rsidRDefault="009F2716" w:rsidP="009F2716">
      <w:pPr>
        <w:widowControl/>
        <w:shd w:val="clear" w:color="auto" w:fill="FFFFFF"/>
        <w:spacing w:line="360" w:lineRule="auto"/>
        <w:outlineLvl w:val="2"/>
        <w:rPr>
          <w:rFonts w:eastAsia="宋体" w:cs="Arial"/>
          <w:b/>
          <w:bCs/>
          <w:spacing w:val="3"/>
          <w:kern w:val="0"/>
          <w:sz w:val="24"/>
          <w:szCs w:val="24"/>
        </w:rPr>
      </w:pPr>
      <w:r w:rsidRPr="003828B7">
        <w:rPr>
          <w:rFonts w:eastAsia="宋体" w:cs="Arial"/>
          <w:b/>
          <w:bCs/>
          <w:spacing w:val="3"/>
          <w:kern w:val="0"/>
          <w:sz w:val="24"/>
          <w:szCs w:val="24"/>
        </w:rPr>
        <w:t>RT-PCR and RT-qPCR</w:t>
      </w:r>
    </w:p>
    <w:p w14:paraId="3160B7C0" w14:textId="77777777" w:rsidR="009F2716" w:rsidRPr="003828B7" w:rsidRDefault="009F2716" w:rsidP="009F2716">
      <w:pPr>
        <w:widowControl/>
        <w:shd w:val="clear" w:color="auto" w:fill="FFFFFF"/>
        <w:spacing w:line="360" w:lineRule="auto"/>
        <w:outlineLvl w:val="2"/>
        <w:rPr>
          <w:rFonts w:eastAsia="宋体" w:cs="Arial"/>
          <w:b/>
          <w:bCs/>
          <w:spacing w:val="3"/>
          <w:kern w:val="0"/>
          <w:sz w:val="24"/>
          <w:szCs w:val="24"/>
        </w:rPr>
      </w:pPr>
      <w:r w:rsidRPr="003828B7">
        <w:rPr>
          <w:rFonts w:eastAsia="宋体" w:cs="Arial"/>
          <w:bCs/>
          <w:spacing w:val="3"/>
          <w:kern w:val="0"/>
          <w:sz w:val="24"/>
          <w:szCs w:val="24"/>
        </w:rPr>
        <w:t xml:space="preserve">The total RNA was extracted with </w:t>
      </w:r>
      <w:proofErr w:type="spellStart"/>
      <w:r w:rsidRPr="003828B7">
        <w:rPr>
          <w:rFonts w:eastAsia="宋体" w:cs="Arial"/>
          <w:bCs/>
          <w:spacing w:val="3"/>
          <w:kern w:val="0"/>
          <w:sz w:val="24"/>
          <w:szCs w:val="24"/>
        </w:rPr>
        <w:t>TRIzol</w:t>
      </w:r>
      <w:proofErr w:type="spellEnd"/>
      <w:r w:rsidRPr="003828B7">
        <w:rPr>
          <w:rFonts w:eastAsia="宋体" w:cs="Arial"/>
          <w:bCs/>
          <w:spacing w:val="3"/>
          <w:kern w:val="0"/>
          <w:sz w:val="24"/>
          <w:szCs w:val="24"/>
        </w:rPr>
        <w:t xml:space="preserve"> Reagent (Invitrogen) and cDNA was synthesized by </w:t>
      </w:r>
      <w:proofErr w:type="spellStart"/>
      <w:r w:rsidRPr="003828B7">
        <w:rPr>
          <w:rFonts w:eastAsia="宋体" w:cs="Arial"/>
          <w:bCs/>
          <w:spacing w:val="3"/>
          <w:kern w:val="0"/>
          <w:sz w:val="24"/>
          <w:szCs w:val="24"/>
        </w:rPr>
        <w:t>PrimeScript</w:t>
      </w:r>
      <w:proofErr w:type="spellEnd"/>
      <w:r w:rsidRPr="003828B7">
        <w:rPr>
          <w:rFonts w:eastAsia="宋体" w:cs="Arial"/>
          <w:bCs/>
          <w:spacing w:val="3"/>
          <w:kern w:val="0"/>
          <w:sz w:val="24"/>
          <w:szCs w:val="24"/>
        </w:rPr>
        <w:t>™ RT reagent Kit with gDNA Eraser (</w:t>
      </w:r>
      <w:proofErr w:type="spellStart"/>
      <w:r w:rsidRPr="003828B7">
        <w:rPr>
          <w:rFonts w:eastAsia="宋体" w:cs="Arial"/>
          <w:bCs/>
          <w:spacing w:val="3"/>
          <w:kern w:val="0"/>
          <w:sz w:val="24"/>
          <w:szCs w:val="24"/>
        </w:rPr>
        <w:t>TaKaRa</w:t>
      </w:r>
      <w:proofErr w:type="spellEnd"/>
      <w:r w:rsidRPr="003828B7">
        <w:rPr>
          <w:rFonts w:eastAsia="宋体" w:cs="Arial"/>
          <w:bCs/>
          <w:spacing w:val="3"/>
          <w:kern w:val="0"/>
          <w:sz w:val="24"/>
          <w:szCs w:val="24"/>
        </w:rPr>
        <w:t xml:space="preserve"> #RR047A). SYBR® Premix Ex Taq™ GC (ROCHE) was used for </w:t>
      </w:r>
      <w:bookmarkStart w:id="11" w:name="OLE_LINK8"/>
      <w:bookmarkStart w:id="12" w:name="OLE_LINK7"/>
      <w:r w:rsidRPr="003828B7">
        <w:rPr>
          <w:rFonts w:eastAsia="宋体" w:cs="Arial"/>
          <w:bCs/>
          <w:spacing w:val="3"/>
          <w:kern w:val="0"/>
          <w:sz w:val="24"/>
          <w:szCs w:val="24"/>
        </w:rPr>
        <w:t>quantitative</w:t>
      </w:r>
      <w:bookmarkEnd w:id="11"/>
      <w:bookmarkEnd w:id="12"/>
      <w:r w:rsidRPr="003828B7">
        <w:rPr>
          <w:rFonts w:eastAsia="宋体" w:cs="Arial"/>
          <w:bCs/>
          <w:spacing w:val="3"/>
          <w:kern w:val="0"/>
          <w:sz w:val="24"/>
          <w:szCs w:val="24"/>
        </w:rPr>
        <w:t xml:space="preserve"> Real-time-PCR (RT-qPCR) analysis, Glyceraldehyde-3-phosphate dehydrogenase (GAPDH) was used as an internal control of RNA integrity. RT-qPCR was performed in triplicate. The sequences of primers used were given in supplementary Table 1.</w:t>
      </w:r>
    </w:p>
    <w:p w14:paraId="6675FCD7" w14:textId="77777777" w:rsidR="009F2716" w:rsidRPr="003828B7" w:rsidRDefault="009F2716" w:rsidP="009F2716">
      <w:pPr>
        <w:widowControl/>
        <w:shd w:val="clear" w:color="auto" w:fill="FFFFFF"/>
        <w:spacing w:line="360" w:lineRule="auto"/>
        <w:outlineLvl w:val="2"/>
        <w:rPr>
          <w:rFonts w:eastAsia="宋体" w:cs="Arial"/>
          <w:bCs/>
          <w:spacing w:val="3"/>
          <w:kern w:val="0"/>
          <w:sz w:val="24"/>
          <w:szCs w:val="24"/>
        </w:rPr>
      </w:pPr>
    </w:p>
    <w:p w14:paraId="5771B7DE" w14:textId="77777777" w:rsidR="009F2716" w:rsidRPr="003828B7" w:rsidRDefault="009F2716" w:rsidP="009F2716">
      <w:pPr>
        <w:widowControl/>
        <w:shd w:val="clear" w:color="auto" w:fill="FFFFFF"/>
        <w:spacing w:line="360" w:lineRule="auto"/>
        <w:outlineLvl w:val="2"/>
        <w:rPr>
          <w:rFonts w:eastAsia="宋体" w:cs="Arial"/>
          <w:b/>
          <w:bCs/>
          <w:spacing w:val="3"/>
          <w:kern w:val="0"/>
          <w:sz w:val="24"/>
          <w:szCs w:val="24"/>
        </w:rPr>
      </w:pPr>
      <w:proofErr w:type="spellStart"/>
      <w:r w:rsidRPr="003828B7">
        <w:rPr>
          <w:rFonts w:eastAsia="宋体" w:cs="Arial"/>
          <w:b/>
          <w:bCs/>
          <w:spacing w:val="3"/>
          <w:kern w:val="0"/>
          <w:sz w:val="24"/>
          <w:szCs w:val="24"/>
        </w:rPr>
        <w:t>ChIP</w:t>
      </w:r>
      <w:proofErr w:type="spellEnd"/>
      <w:r w:rsidRPr="003828B7">
        <w:rPr>
          <w:rFonts w:eastAsia="宋体" w:cs="Arial"/>
          <w:b/>
          <w:bCs/>
          <w:spacing w:val="3"/>
          <w:kern w:val="0"/>
          <w:sz w:val="24"/>
          <w:szCs w:val="24"/>
        </w:rPr>
        <w:t>-qPCR</w:t>
      </w:r>
    </w:p>
    <w:p w14:paraId="40A7B1D7" w14:textId="75508D35" w:rsidR="009F2716" w:rsidRPr="003828B7" w:rsidRDefault="009F2716" w:rsidP="009F2716">
      <w:pPr>
        <w:autoSpaceDE w:val="0"/>
        <w:autoSpaceDN w:val="0"/>
        <w:adjustRightInd w:val="0"/>
        <w:spacing w:line="360" w:lineRule="auto"/>
        <w:rPr>
          <w:rFonts w:cs="Arial"/>
          <w:bCs/>
          <w:sz w:val="24"/>
          <w:szCs w:val="24"/>
        </w:rPr>
      </w:pPr>
      <w:bookmarkStart w:id="13" w:name="OLE_LINK2"/>
      <w:bookmarkStart w:id="14" w:name="OLE_LINK1"/>
      <w:proofErr w:type="spellStart"/>
      <w:r w:rsidRPr="003828B7">
        <w:rPr>
          <w:rFonts w:eastAsia="宋体" w:cs="Arial"/>
          <w:spacing w:val="3"/>
          <w:kern w:val="0"/>
          <w:sz w:val="24"/>
          <w:szCs w:val="24"/>
        </w:rPr>
        <w:t>ChIP</w:t>
      </w:r>
      <w:proofErr w:type="spellEnd"/>
      <w:r w:rsidRPr="003828B7">
        <w:rPr>
          <w:rFonts w:eastAsia="宋体" w:cs="Arial"/>
          <w:spacing w:val="3"/>
          <w:kern w:val="0"/>
          <w:sz w:val="24"/>
          <w:szCs w:val="24"/>
        </w:rPr>
        <w:t xml:space="preserve"> assay was carried out as the method of Lan et al </w:t>
      </w:r>
      <w:r w:rsidRPr="003828B7">
        <w:rPr>
          <w:rFonts w:eastAsia="宋体" w:cs="Arial"/>
          <w:spacing w:val="3"/>
          <w:kern w:val="0"/>
          <w:sz w:val="24"/>
          <w:szCs w:val="24"/>
        </w:rPr>
        <w:fldChar w:fldCharType="begin">
          <w:fldData xml:space="preserve">PEVuZE5vdGU+PENpdGU+PEF1dGhvcj5MYW48L0F1dGhvcj48WWVhcj4yMDA3PC9ZZWFyPjxSZWNO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</w:fldData>
        </w:fldChar>
      </w:r>
      <w:r w:rsidRPr="003828B7">
        <w:rPr>
          <w:rFonts w:eastAsia="宋体" w:cs="Arial"/>
          <w:spacing w:val="3"/>
          <w:kern w:val="0"/>
          <w:sz w:val="24"/>
          <w:szCs w:val="24"/>
        </w:rPr>
        <w:instrText xml:space="preserve"> ADDIN EN.CITE </w:instrText>
      </w:r>
      <w:r w:rsidRPr="003828B7">
        <w:rPr>
          <w:rFonts w:eastAsia="宋体" w:cs="Arial"/>
          <w:spacing w:val="3"/>
          <w:kern w:val="0"/>
          <w:sz w:val="24"/>
          <w:szCs w:val="24"/>
        </w:rPr>
        <w:fldChar w:fldCharType="begin">
          <w:fldData xml:space="preserve">PEVuZE5vdGU+PENpdGU+PEF1dGhvcj5MYW48L0F1dGhvcj48WWVhcj4yMDA3PC9ZZWFyPjxSZWNO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</w:fldData>
        </w:fldChar>
      </w:r>
      <w:r w:rsidRPr="003828B7">
        <w:rPr>
          <w:rFonts w:eastAsia="宋体" w:cs="Arial"/>
          <w:spacing w:val="3"/>
          <w:kern w:val="0"/>
          <w:sz w:val="24"/>
          <w:szCs w:val="24"/>
        </w:rPr>
        <w:instrText xml:space="preserve"> ADDIN EN.CITE.DATA </w:instrText>
      </w:r>
      <w:r w:rsidRPr="003828B7">
        <w:rPr>
          <w:rFonts w:eastAsia="宋体" w:cs="Arial"/>
          <w:spacing w:val="3"/>
          <w:kern w:val="0"/>
          <w:sz w:val="24"/>
          <w:szCs w:val="24"/>
        </w:rPr>
      </w:r>
      <w:r w:rsidRPr="003828B7">
        <w:rPr>
          <w:rFonts w:eastAsia="宋体" w:cs="Arial"/>
          <w:spacing w:val="3"/>
          <w:kern w:val="0"/>
          <w:sz w:val="24"/>
          <w:szCs w:val="24"/>
        </w:rPr>
        <w:fldChar w:fldCharType="end"/>
      </w:r>
      <w:r w:rsidRPr="003828B7">
        <w:rPr>
          <w:rFonts w:eastAsia="宋体" w:cs="Arial"/>
          <w:spacing w:val="3"/>
          <w:kern w:val="0"/>
          <w:sz w:val="24"/>
          <w:szCs w:val="24"/>
        </w:rPr>
      </w:r>
      <w:r w:rsidRPr="003828B7">
        <w:rPr>
          <w:rFonts w:eastAsia="宋体" w:cs="Arial"/>
          <w:spacing w:val="3"/>
          <w:kern w:val="0"/>
          <w:sz w:val="24"/>
          <w:szCs w:val="24"/>
        </w:rPr>
        <w:fldChar w:fldCharType="separate"/>
      </w:r>
      <w:r w:rsidRPr="003828B7">
        <w:rPr>
          <w:rFonts w:eastAsia="宋体" w:cs="Arial"/>
          <w:noProof/>
          <w:spacing w:val="3"/>
          <w:kern w:val="0"/>
          <w:sz w:val="24"/>
          <w:szCs w:val="24"/>
          <w:vertAlign w:val="superscript"/>
        </w:rPr>
        <w:t>1</w:t>
      </w:r>
      <w:r w:rsidRPr="003828B7">
        <w:rPr>
          <w:rFonts w:eastAsia="宋体" w:cs="Arial"/>
          <w:spacing w:val="3"/>
          <w:kern w:val="0"/>
          <w:sz w:val="24"/>
          <w:szCs w:val="24"/>
        </w:rPr>
        <w:fldChar w:fldCharType="end"/>
      </w:r>
      <w:r w:rsidRPr="003828B7">
        <w:rPr>
          <w:rFonts w:eastAsia="宋体" w:cs="Arial"/>
          <w:spacing w:val="3"/>
          <w:kern w:val="0"/>
          <w:sz w:val="24"/>
          <w:szCs w:val="24"/>
        </w:rPr>
        <w:t xml:space="preserve">. Raji-4RH was treated with </w:t>
      </w:r>
      <w:proofErr w:type="spellStart"/>
      <w:r w:rsidRPr="003828B7">
        <w:rPr>
          <w:rFonts w:eastAsia="宋体" w:cs="Arial"/>
          <w:spacing w:val="3"/>
          <w:kern w:val="0"/>
          <w:sz w:val="24"/>
          <w:szCs w:val="24"/>
        </w:rPr>
        <w:t>chidamide</w:t>
      </w:r>
      <w:proofErr w:type="spellEnd"/>
      <w:r w:rsidRPr="003828B7">
        <w:rPr>
          <w:rFonts w:eastAsia="宋体" w:cs="Arial"/>
          <w:spacing w:val="3"/>
          <w:kern w:val="0"/>
          <w:sz w:val="24"/>
          <w:szCs w:val="24"/>
        </w:rPr>
        <w:t xml:space="preserve"> (3 µM) for 24 hours at a cell density of 5 x 10</w:t>
      </w:r>
      <w:r w:rsidRPr="003828B7">
        <w:rPr>
          <w:rFonts w:eastAsia="宋体" w:cs="Arial"/>
          <w:spacing w:val="3"/>
          <w:kern w:val="0"/>
          <w:sz w:val="24"/>
          <w:szCs w:val="24"/>
          <w:vertAlign w:val="superscript"/>
        </w:rPr>
        <w:t>5</w:t>
      </w:r>
      <w:r w:rsidRPr="003828B7">
        <w:rPr>
          <w:rFonts w:eastAsia="宋体" w:cs="Arial"/>
          <w:spacing w:val="3"/>
          <w:kern w:val="0"/>
          <w:sz w:val="24"/>
          <w:szCs w:val="24"/>
        </w:rPr>
        <w:t>/ml. Then 2 x 10</w:t>
      </w:r>
      <w:r w:rsidRPr="003828B7">
        <w:rPr>
          <w:rFonts w:eastAsia="宋体" w:cs="Arial"/>
          <w:spacing w:val="3"/>
          <w:kern w:val="0"/>
          <w:sz w:val="24"/>
          <w:szCs w:val="24"/>
          <w:vertAlign w:val="superscript"/>
        </w:rPr>
        <w:t>7</w:t>
      </w:r>
      <w:r w:rsidRPr="003828B7">
        <w:rPr>
          <w:rFonts w:eastAsia="宋体" w:cs="Arial"/>
          <w:spacing w:val="3"/>
          <w:kern w:val="0"/>
          <w:sz w:val="24"/>
          <w:szCs w:val="24"/>
        </w:rPr>
        <w:t xml:space="preserve"> DMSO and </w:t>
      </w:r>
      <w:proofErr w:type="spellStart"/>
      <w:r w:rsidRPr="003828B7">
        <w:rPr>
          <w:rFonts w:eastAsia="宋体" w:cs="Arial"/>
          <w:spacing w:val="3"/>
          <w:kern w:val="0"/>
          <w:sz w:val="24"/>
          <w:szCs w:val="24"/>
        </w:rPr>
        <w:t>chidamide</w:t>
      </w:r>
      <w:proofErr w:type="spellEnd"/>
      <w:r w:rsidRPr="003828B7">
        <w:rPr>
          <w:rFonts w:eastAsia="宋体" w:cs="Arial"/>
          <w:spacing w:val="3"/>
          <w:kern w:val="0"/>
          <w:sz w:val="24"/>
          <w:szCs w:val="24"/>
        </w:rPr>
        <w:t xml:space="preserve"> treated Raji-4RH were crosslinked with 1 % formaldehyde </w:t>
      </w:r>
      <w:r w:rsidRPr="003828B7">
        <w:rPr>
          <w:rFonts w:eastAsia="宋体" w:cs="Arial"/>
          <w:spacing w:val="3"/>
          <w:kern w:val="0"/>
          <w:sz w:val="24"/>
          <w:szCs w:val="24"/>
        </w:rPr>
        <w:lastRenderedPageBreak/>
        <w:t xml:space="preserve">for 10 minutes and then stopped by 125 mM Glycine for 5 minutes. After lysis and sonication, each sample was incubated with 30 µL protein A/G beads (Smart life sciences SA032005) at 4 </w:t>
      </w:r>
      <w:r w:rsidRPr="003828B7">
        <w:rPr>
          <w:rFonts w:ascii="微软雅黑" w:eastAsia="微软雅黑" w:hAnsi="微软雅黑" w:cs="微软雅黑" w:hint="eastAsia"/>
          <w:spacing w:val="3"/>
          <w:kern w:val="0"/>
          <w:sz w:val="24"/>
          <w:szCs w:val="24"/>
        </w:rPr>
        <w:t>℃</w:t>
      </w:r>
      <w:r w:rsidRPr="003828B7">
        <w:rPr>
          <w:rFonts w:eastAsia="宋体" w:cs="Arial"/>
          <w:spacing w:val="3"/>
          <w:kern w:val="0"/>
          <w:sz w:val="24"/>
          <w:szCs w:val="24"/>
        </w:rPr>
        <w:t xml:space="preserve"> for 1 hour and then divided into 2 parts. 5 </w:t>
      </w:r>
      <w:bookmarkStart w:id="15" w:name="OLE_LINK5"/>
      <w:bookmarkStart w:id="16" w:name="OLE_LINK6"/>
      <w:proofErr w:type="spellStart"/>
      <w:r w:rsidRPr="003828B7">
        <w:rPr>
          <w:rFonts w:eastAsia="宋体" w:cs="Arial"/>
          <w:spacing w:val="3"/>
          <w:kern w:val="0"/>
          <w:sz w:val="24"/>
          <w:szCs w:val="24"/>
        </w:rPr>
        <w:t>μg</w:t>
      </w:r>
      <w:bookmarkEnd w:id="15"/>
      <w:bookmarkEnd w:id="16"/>
      <w:proofErr w:type="spellEnd"/>
      <w:r w:rsidRPr="003828B7">
        <w:rPr>
          <w:rFonts w:eastAsia="宋体" w:cs="Arial"/>
          <w:spacing w:val="3"/>
          <w:kern w:val="0"/>
          <w:sz w:val="24"/>
          <w:szCs w:val="24"/>
        </w:rPr>
        <w:t xml:space="preserve"> of </w:t>
      </w:r>
      <w:r w:rsidRPr="003828B7">
        <w:rPr>
          <w:rFonts w:eastAsia="宋体" w:cs="Arial"/>
          <w:kern w:val="0"/>
          <w:sz w:val="24"/>
          <w:szCs w:val="24"/>
        </w:rPr>
        <w:t>Acetyl-Histone H3K9 (</w:t>
      </w:r>
      <w:r w:rsidRPr="003828B7">
        <w:rPr>
          <w:rFonts w:eastAsia="宋体" w:cs="Arial"/>
          <w:bCs/>
          <w:kern w:val="0"/>
          <w:sz w:val="24"/>
          <w:szCs w:val="24"/>
        </w:rPr>
        <w:t xml:space="preserve">Cell Signaling </w:t>
      </w:r>
      <w:r w:rsidRPr="003828B7">
        <w:rPr>
          <w:rFonts w:eastAsia="宋体" w:cs="Arial"/>
          <w:spacing w:val="3"/>
          <w:kern w:val="0"/>
          <w:sz w:val="24"/>
          <w:szCs w:val="24"/>
        </w:rPr>
        <w:t>Technology, 9649) Rabbit antibody and 5μg IgG antibody were incubated with chromatin sample overnight at 4</w:t>
      </w:r>
      <w:r w:rsidRPr="003828B7">
        <w:rPr>
          <w:rFonts w:ascii="微软雅黑" w:eastAsia="微软雅黑" w:hAnsi="微软雅黑" w:cs="微软雅黑" w:hint="eastAsia"/>
          <w:spacing w:val="3"/>
          <w:kern w:val="0"/>
          <w:sz w:val="24"/>
          <w:szCs w:val="24"/>
        </w:rPr>
        <w:t>℃</w:t>
      </w:r>
      <w:r w:rsidRPr="003828B7">
        <w:rPr>
          <w:rFonts w:eastAsia="宋体" w:cs="Arial"/>
          <w:spacing w:val="3"/>
          <w:kern w:val="0"/>
          <w:sz w:val="24"/>
          <w:szCs w:val="24"/>
        </w:rPr>
        <w:t xml:space="preserve">. Next, the samples were incubated with 50 </w:t>
      </w:r>
      <w:proofErr w:type="spellStart"/>
      <w:r w:rsidRPr="003828B7">
        <w:rPr>
          <w:rFonts w:eastAsia="宋体" w:cs="Arial"/>
          <w:spacing w:val="3"/>
          <w:kern w:val="0"/>
          <w:sz w:val="24"/>
          <w:szCs w:val="24"/>
        </w:rPr>
        <w:t>μL</w:t>
      </w:r>
      <w:proofErr w:type="spellEnd"/>
      <w:r w:rsidRPr="003828B7">
        <w:rPr>
          <w:rFonts w:eastAsia="宋体" w:cs="Arial"/>
          <w:spacing w:val="3"/>
          <w:kern w:val="0"/>
          <w:sz w:val="24"/>
          <w:szCs w:val="24"/>
        </w:rPr>
        <w:t xml:space="preserve"> </w:t>
      </w:r>
      <w:bookmarkStart w:id="17" w:name="OLE_LINK4"/>
      <w:bookmarkStart w:id="18" w:name="OLE_LINK3"/>
      <w:r w:rsidRPr="003828B7">
        <w:rPr>
          <w:rFonts w:eastAsia="宋体" w:cs="Arial"/>
          <w:spacing w:val="3"/>
          <w:kern w:val="0"/>
          <w:sz w:val="24"/>
          <w:szCs w:val="24"/>
        </w:rPr>
        <w:t xml:space="preserve">protein A/G beads </w:t>
      </w:r>
      <w:bookmarkEnd w:id="17"/>
      <w:bookmarkEnd w:id="18"/>
      <w:r w:rsidRPr="003828B7">
        <w:rPr>
          <w:rFonts w:eastAsia="宋体" w:cs="Arial"/>
          <w:spacing w:val="3"/>
          <w:kern w:val="0"/>
          <w:sz w:val="24"/>
          <w:szCs w:val="24"/>
        </w:rPr>
        <w:t xml:space="preserve">for 2 hours. Finally, DNA were purified with PCR recovery kit (QIAGEN </w:t>
      </w:r>
      <w:r w:rsidRPr="003828B7">
        <w:rPr>
          <w:rFonts w:cs="Arial"/>
          <w:sz w:val="24"/>
          <w:szCs w:val="24"/>
        </w:rPr>
        <w:t>#28006)</w:t>
      </w:r>
      <w:bookmarkStart w:id="19" w:name="OLE_LINK10"/>
      <w:bookmarkStart w:id="20" w:name="OLE_LINK11"/>
      <w:r w:rsidRPr="003828B7">
        <w:rPr>
          <w:rFonts w:cs="Arial"/>
          <w:sz w:val="24"/>
          <w:szCs w:val="24"/>
        </w:rPr>
        <w:t xml:space="preserve">, and then the amount of desired DNA fragments </w:t>
      </w:r>
      <w:proofErr w:type="gramStart"/>
      <w:r w:rsidRPr="003828B7">
        <w:rPr>
          <w:rFonts w:cs="Arial"/>
          <w:sz w:val="24"/>
          <w:szCs w:val="24"/>
        </w:rPr>
        <w:t>were</w:t>
      </w:r>
      <w:proofErr w:type="gramEnd"/>
      <w:r w:rsidRPr="003828B7">
        <w:rPr>
          <w:rFonts w:cs="Arial"/>
          <w:sz w:val="24"/>
          <w:szCs w:val="24"/>
        </w:rPr>
        <w:t xml:space="preserve"> measured with Q-PCR. </w:t>
      </w:r>
      <w:r w:rsidRPr="003828B7">
        <w:rPr>
          <w:rFonts w:cs="Arial"/>
          <w:bCs/>
          <w:sz w:val="24"/>
          <w:szCs w:val="24"/>
        </w:rPr>
        <w:t>The sequences of primers used were seen in supplementary Table 1.</w:t>
      </w:r>
    </w:p>
    <w:p w14:paraId="7C5E580C" w14:textId="77777777" w:rsidR="009F2716" w:rsidRPr="003828B7" w:rsidRDefault="009F2716" w:rsidP="009F2716">
      <w:pPr>
        <w:autoSpaceDE w:val="0"/>
        <w:autoSpaceDN w:val="0"/>
        <w:adjustRightInd w:val="0"/>
        <w:spacing w:line="360" w:lineRule="auto"/>
        <w:rPr>
          <w:rFonts w:eastAsia="宋体" w:cs="Arial"/>
          <w:spacing w:val="3"/>
          <w:kern w:val="0"/>
          <w:sz w:val="24"/>
          <w:szCs w:val="24"/>
        </w:rPr>
      </w:pPr>
    </w:p>
    <w:p w14:paraId="4A64C77C" w14:textId="77777777" w:rsidR="009F2716" w:rsidRPr="003828B7" w:rsidRDefault="009F2716" w:rsidP="009F2716">
      <w:pPr>
        <w:widowControl/>
        <w:shd w:val="clear" w:color="auto" w:fill="FFFFFF"/>
        <w:spacing w:line="360" w:lineRule="auto"/>
        <w:outlineLvl w:val="2"/>
        <w:rPr>
          <w:rFonts w:eastAsia="宋体" w:cs="Arial"/>
          <w:b/>
          <w:bCs/>
          <w:spacing w:val="3"/>
          <w:kern w:val="0"/>
          <w:sz w:val="24"/>
          <w:szCs w:val="24"/>
        </w:rPr>
      </w:pPr>
      <w:r w:rsidRPr="003828B7">
        <w:rPr>
          <w:rFonts w:eastAsia="宋体" w:cs="Arial"/>
          <w:b/>
          <w:bCs/>
          <w:spacing w:val="3"/>
          <w:kern w:val="0"/>
          <w:sz w:val="24"/>
          <w:szCs w:val="24"/>
        </w:rPr>
        <w:t>RNA-seq</w:t>
      </w:r>
    </w:p>
    <w:bookmarkEnd w:id="13"/>
    <w:bookmarkEnd w:id="14"/>
    <w:bookmarkEnd w:id="19"/>
    <w:bookmarkEnd w:id="20"/>
    <w:p w14:paraId="1745B518" w14:textId="77777777" w:rsidR="009F2716" w:rsidRPr="003828B7" w:rsidRDefault="009F2716" w:rsidP="009F2716">
      <w:pPr>
        <w:widowControl/>
        <w:spacing w:line="360" w:lineRule="auto"/>
        <w:rPr>
          <w:rFonts w:cs="Arial"/>
          <w:bCs/>
          <w:sz w:val="24"/>
          <w:szCs w:val="24"/>
        </w:rPr>
      </w:pPr>
      <w:r w:rsidRPr="003828B7">
        <w:rPr>
          <w:rFonts w:cs="Arial"/>
          <w:bCs/>
          <w:sz w:val="24"/>
          <w:szCs w:val="24"/>
        </w:rPr>
        <w:t xml:space="preserve">Raji and Raji-4RH were treated with </w:t>
      </w:r>
      <w:proofErr w:type="spellStart"/>
      <w:r w:rsidRPr="003828B7">
        <w:rPr>
          <w:rFonts w:cs="Arial"/>
          <w:bCs/>
          <w:sz w:val="24"/>
          <w:szCs w:val="24"/>
        </w:rPr>
        <w:t>chidamide</w:t>
      </w:r>
      <w:proofErr w:type="spellEnd"/>
      <w:r w:rsidRPr="003828B7">
        <w:rPr>
          <w:rFonts w:cs="Arial"/>
          <w:bCs/>
          <w:sz w:val="24"/>
          <w:szCs w:val="24"/>
        </w:rPr>
        <w:t xml:space="preserve"> (3 µM) for 24 hours at a cell density of 5 x 10</w:t>
      </w:r>
      <w:r w:rsidRPr="003828B7">
        <w:rPr>
          <w:rFonts w:cs="Arial"/>
          <w:bCs/>
          <w:sz w:val="24"/>
          <w:szCs w:val="24"/>
          <w:vertAlign w:val="superscript"/>
        </w:rPr>
        <w:t>5</w:t>
      </w:r>
      <w:r w:rsidRPr="003828B7">
        <w:rPr>
          <w:rFonts w:cs="Arial"/>
          <w:bCs/>
          <w:sz w:val="24"/>
          <w:szCs w:val="24"/>
        </w:rPr>
        <w:t xml:space="preserve">/mL and RNA was extracted with </w:t>
      </w:r>
      <w:proofErr w:type="spellStart"/>
      <w:r w:rsidRPr="003828B7">
        <w:rPr>
          <w:rFonts w:cs="Arial"/>
          <w:bCs/>
          <w:sz w:val="24"/>
          <w:szCs w:val="24"/>
        </w:rPr>
        <w:t>TRIzol</w:t>
      </w:r>
      <w:proofErr w:type="spellEnd"/>
      <w:r w:rsidRPr="003828B7">
        <w:rPr>
          <w:rFonts w:cs="Arial"/>
          <w:bCs/>
          <w:sz w:val="24"/>
          <w:szCs w:val="24"/>
        </w:rPr>
        <w:t xml:space="preserve"> Reagent (Invitrogen). A total amount of 3 µg RNA per sample was used as input material for the RNA sample preparation. Sequencing libraries were generated using </w:t>
      </w:r>
      <w:proofErr w:type="spellStart"/>
      <w:r w:rsidRPr="003828B7">
        <w:rPr>
          <w:rFonts w:cs="Arial"/>
          <w:bCs/>
          <w:sz w:val="24"/>
          <w:szCs w:val="24"/>
        </w:rPr>
        <w:t>NEBNext</w:t>
      </w:r>
      <w:proofErr w:type="spellEnd"/>
      <w:r w:rsidRPr="003828B7">
        <w:rPr>
          <w:rFonts w:cs="Arial"/>
          <w:bCs/>
          <w:sz w:val="24"/>
          <w:szCs w:val="24"/>
        </w:rPr>
        <w:t xml:space="preserve">® </w:t>
      </w:r>
      <w:proofErr w:type="spellStart"/>
      <w:r w:rsidRPr="003828B7">
        <w:rPr>
          <w:rFonts w:cs="Arial"/>
          <w:bCs/>
          <w:sz w:val="24"/>
          <w:szCs w:val="24"/>
        </w:rPr>
        <w:t>UltraTM</w:t>
      </w:r>
      <w:proofErr w:type="spellEnd"/>
      <w:r w:rsidRPr="003828B7">
        <w:rPr>
          <w:rFonts w:cs="Arial"/>
          <w:bCs/>
          <w:sz w:val="24"/>
          <w:szCs w:val="24"/>
        </w:rPr>
        <w:t xml:space="preserve"> RNA Library Prep Kit for Illumina® (NEB, USA) following manufacturer’s recommendations and sequenced with Illumina </w:t>
      </w:r>
      <w:proofErr w:type="spellStart"/>
      <w:r w:rsidRPr="003828B7">
        <w:rPr>
          <w:rFonts w:cs="Arial"/>
          <w:bCs/>
          <w:sz w:val="24"/>
          <w:szCs w:val="24"/>
        </w:rPr>
        <w:t>HiSeq</w:t>
      </w:r>
      <w:proofErr w:type="spellEnd"/>
      <w:r w:rsidRPr="003828B7">
        <w:rPr>
          <w:rFonts w:cs="Arial"/>
          <w:bCs/>
          <w:sz w:val="24"/>
          <w:szCs w:val="24"/>
        </w:rPr>
        <w:t xml:space="preserve"> X ten.</w:t>
      </w:r>
    </w:p>
    <w:p w14:paraId="68411369" w14:textId="77777777" w:rsidR="009F2716" w:rsidRPr="003828B7" w:rsidRDefault="009F2716" w:rsidP="009F2716">
      <w:pPr>
        <w:widowControl/>
        <w:spacing w:line="360" w:lineRule="auto"/>
        <w:rPr>
          <w:rFonts w:cs="Arial"/>
          <w:bCs/>
          <w:sz w:val="24"/>
          <w:szCs w:val="24"/>
        </w:rPr>
      </w:pPr>
    </w:p>
    <w:p w14:paraId="23929E1B" w14:textId="77777777" w:rsidR="009F2716" w:rsidRPr="003828B7" w:rsidRDefault="009F2716" w:rsidP="009F2716">
      <w:pPr>
        <w:widowControl/>
        <w:shd w:val="clear" w:color="auto" w:fill="FFFFFF"/>
        <w:spacing w:line="360" w:lineRule="auto"/>
        <w:outlineLvl w:val="2"/>
        <w:rPr>
          <w:rFonts w:eastAsia="宋体" w:cs="Arial"/>
          <w:b/>
          <w:bCs/>
          <w:spacing w:val="3"/>
          <w:kern w:val="0"/>
          <w:sz w:val="24"/>
          <w:szCs w:val="24"/>
        </w:rPr>
      </w:pPr>
      <w:r w:rsidRPr="003828B7">
        <w:rPr>
          <w:rFonts w:eastAsia="宋体" w:cs="Arial"/>
          <w:b/>
          <w:bCs/>
          <w:spacing w:val="3"/>
          <w:kern w:val="0"/>
          <w:sz w:val="24"/>
          <w:szCs w:val="24"/>
        </w:rPr>
        <w:t xml:space="preserve">Flow cytometry </w:t>
      </w:r>
    </w:p>
    <w:p w14:paraId="4AC8280E" w14:textId="77777777" w:rsidR="009F2716" w:rsidRPr="003828B7" w:rsidRDefault="009F2716" w:rsidP="009F2716">
      <w:pPr>
        <w:widowControl/>
        <w:spacing w:line="360" w:lineRule="auto"/>
        <w:rPr>
          <w:rFonts w:eastAsia="宋体" w:cs="Arial"/>
          <w:bCs/>
          <w:spacing w:val="3"/>
          <w:kern w:val="0"/>
          <w:sz w:val="24"/>
          <w:szCs w:val="24"/>
        </w:rPr>
      </w:pPr>
      <w:r w:rsidRPr="003828B7">
        <w:rPr>
          <w:rFonts w:eastAsia="宋体" w:cs="Arial"/>
          <w:bCs/>
          <w:spacing w:val="3"/>
          <w:kern w:val="0"/>
          <w:sz w:val="24"/>
          <w:szCs w:val="24"/>
        </w:rPr>
        <w:t>All the flow cytometry experiments were performed on</w:t>
      </w:r>
      <w:r w:rsidRPr="003828B7">
        <w:rPr>
          <w:rFonts w:cs="Arial"/>
          <w:sz w:val="24"/>
          <w:szCs w:val="24"/>
        </w:rPr>
        <w:t xml:space="preserve"> </w:t>
      </w:r>
      <w:r w:rsidRPr="003828B7">
        <w:rPr>
          <w:rFonts w:eastAsia="宋体" w:cs="Arial"/>
          <w:bCs/>
          <w:spacing w:val="3"/>
          <w:kern w:val="0"/>
          <w:sz w:val="24"/>
          <w:szCs w:val="24"/>
        </w:rPr>
        <w:t xml:space="preserve">the Beckman Coulter cell analyzer and analyzed with </w:t>
      </w:r>
      <w:proofErr w:type="spellStart"/>
      <w:r w:rsidRPr="003828B7">
        <w:rPr>
          <w:rFonts w:eastAsia="宋体" w:cs="Arial"/>
          <w:bCs/>
          <w:spacing w:val="3"/>
          <w:kern w:val="0"/>
          <w:sz w:val="24"/>
          <w:szCs w:val="24"/>
        </w:rPr>
        <w:t>FlowJo</w:t>
      </w:r>
      <w:proofErr w:type="spellEnd"/>
      <w:r w:rsidRPr="003828B7">
        <w:rPr>
          <w:rFonts w:eastAsia="宋体" w:cs="Arial"/>
          <w:bCs/>
          <w:spacing w:val="3"/>
          <w:kern w:val="0"/>
          <w:sz w:val="24"/>
          <w:szCs w:val="24"/>
        </w:rPr>
        <w:t xml:space="preserve"> V10 or MFLT32 for cell cycle analysis.</w:t>
      </w:r>
      <w:r w:rsidRPr="003828B7">
        <w:rPr>
          <w:rFonts w:eastAsia="宋体" w:cs="Arial" w:hint="eastAsia"/>
          <w:bCs/>
          <w:spacing w:val="3"/>
          <w:kern w:val="0"/>
          <w:sz w:val="24"/>
          <w:szCs w:val="24"/>
        </w:rPr>
        <w:t xml:space="preserve"> </w:t>
      </w:r>
      <w:r w:rsidRPr="003828B7">
        <w:rPr>
          <w:rFonts w:eastAsia="宋体" w:cs="Arial"/>
          <w:bCs/>
          <w:spacing w:val="3"/>
          <w:kern w:val="0"/>
          <w:sz w:val="24"/>
          <w:szCs w:val="24"/>
        </w:rPr>
        <w:t>For apoptosis analysis, 1 × 10</w:t>
      </w:r>
      <w:r w:rsidRPr="003828B7">
        <w:rPr>
          <w:rFonts w:eastAsia="宋体" w:cs="Arial"/>
          <w:bCs/>
          <w:spacing w:val="3"/>
          <w:kern w:val="0"/>
          <w:sz w:val="24"/>
          <w:szCs w:val="24"/>
          <w:vertAlign w:val="superscript"/>
        </w:rPr>
        <w:t xml:space="preserve">5 </w:t>
      </w:r>
      <w:r w:rsidRPr="003828B7">
        <w:rPr>
          <w:rFonts w:eastAsia="宋体" w:cs="Arial"/>
          <w:bCs/>
          <w:spacing w:val="3"/>
          <w:kern w:val="0"/>
          <w:sz w:val="24"/>
          <w:szCs w:val="24"/>
        </w:rPr>
        <w:t xml:space="preserve">cells were incubated at room temperature for 15 </w:t>
      </w:r>
      <w:r w:rsidRPr="003828B7">
        <w:rPr>
          <w:rFonts w:eastAsia="宋体" w:cs="Arial"/>
          <w:bCs/>
          <w:spacing w:val="3"/>
          <w:kern w:val="0"/>
          <w:sz w:val="24"/>
          <w:szCs w:val="24"/>
        </w:rPr>
        <w:lastRenderedPageBreak/>
        <w:t xml:space="preserve">minutes in 1 </w:t>
      </w:r>
      <w:r w:rsidRPr="003828B7">
        <w:rPr>
          <w:rFonts w:cs="Arial"/>
          <w:sz w:val="24"/>
          <w:szCs w:val="24"/>
        </w:rPr>
        <w:t>× binding buffer</w:t>
      </w:r>
      <w:r w:rsidRPr="003828B7">
        <w:rPr>
          <w:rFonts w:eastAsia="宋体" w:cs="Arial"/>
          <w:bCs/>
          <w:spacing w:val="3"/>
          <w:kern w:val="0"/>
          <w:sz w:val="24"/>
          <w:szCs w:val="24"/>
        </w:rPr>
        <w:t xml:space="preserve"> with APC Annexin V and propidium iodide (PI, 10 µg/mL</w:t>
      </w:r>
      <w:proofErr w:type="gramStart"/>
      <w:r w:rsidRPr="003828B7">
        <w:rPr>
          <w:rFonts w:eastAsia="宋体" w:cs="Arial"/>
          <w:bCs/>
          <w:spacing w:val="3"/>
          <w:kern w:val="0"/>
          <w:sz w:val="24"/>
          <w:szCs w:val="24"/>
        </w:rPr>
        <w:t>)</w:t>
      </w:r>
      <w:r w:rsidRPr="003828B7">
        <w:t xml:space="preserve"> ,</w:t>
      </w:r>
      <w:proofErr w:type="gramEnd"/>
      <w:r w:rsidRPr="003828B7">
        <w:t xml:space="preserve"> </w:t>
      </w:r>
      <w:r w:rsidRPr="003828B7">
        <w:rPr>
          <w:rFonts w:eastAsia="宋体" w:cs="Arial"/>
          <w:bCs/>
          <w:spacing w:val="3"/>
          <w:kern w:val="0"/>
          <w:sz w:val="24"/>
          <w:szCs w:val="24"/>
        </w:rPr>
        <w:t xml:space="preserve">and then analyzed on a Beckmann </w:t>
      </w:r>
      <w:proofErr w:type="spellStart"/>
      <w:r w:rsidRPr="003828B7">
        <w:rPr>
          <w:rFonts w:eastAsia="宋体" w:cs="Arial"/>
          <w:bCs/>
          <w:spacing w:val="3"/>
          <w:kern w:val="0"/>
          <w:sz w:val="24"/>
          <w:szCs w:val="24"/>
        </w:rPr>
        <w:t>Gallios</w:t>
      </w:r>
      <w:proofErr w:type="spellEnd"/>
      <w:r w:rsidRPr="003828B7">
        <w:rPr>
          <w:rFonts w:eastAsia="宋体" w:cs="Arial"/>
          <w:bCs/>
          <w:spacing w:val="3"/>
          <w:kern w:val="0"/>
          <w:sz w:val="24"/>
          <w:szCs w:val="24"/>
        </w:rPr>
        <w:t xml:space="preserve"> cell analyzer machine. For cell cycle analysis. For cell cycle analysis, 1 × 10</w:t>
      </w:r>
      <w:r w:rsidRPr="003828B7">
        <w:rPr>
          <w:rFonts w:eastAsia="宋体" w:cs="Arial"/>
          <w:bCs/>
          <w:spacing w:val="3"/>
          <w:kern w:val="0"/>
          <w:sz w:val="24"/>
          <w:szCs w:val="24"/>
          <w:vertAlign w:val="superscript"/>
        </w:rPr>
        <w:t>6</w:t>
      </w:r>
      <w:r w:rsidRPr="003828B7">
        <w:rPr>
          <w:rFonts w:eastAsia="宋体" w:cs="Arial"/>
          <w:bCs/>
          <w:spacing w:val="3"/>
          <w:kern w:val="0"/>
          <w:sz w:val="24"/>
          <w:szCs w:val="24"/>
        </w:rPr>
        <w:t xml:space="preserve"> cells were fixed with 70 % Alcohol PBS over 24 hours at -20 </w:t>
      </w:r>
      <w:r w:rsidRPr="003828B7">
        <w:rPr>
          <w:rFonts w:ascii="微软雅黑" w:eastAsia="微软雅黑" w:hAnsi="微软雅黑" w:cs="微软雅黑" w:hint="eastAsia"/>
          <w:bCs/>
          <w:spacing w:val="3"/>
          <w:kern w:val="0"/>
          <w:sz w:val="24"/>
          <w:szCs w:val="24"/>
        </w:rPr>
        <w:t>℃</w:t>
      </w:r>
      <w:r w:rsidRPr="003828B7">
        <w:rPr>
          <w:rFonts w:eastAsia="宋体" w:cs="Arial"/>
          <w:bCs/>
          <w:spacing w:val="3"/>
          <w:kern w:val="0"/>
          <w:sz w:val="24"/>
          <w:szCs w:val="24"/>
        </w:rPr>
        <w:t xml:space="preserve">, and then disposed with </w:t>
      </w:r>
      <w:proofErr w:type="spellStart"/>
      <w:r w:rsidRPr="003828B7">
        <w:rPr>
          <w:rFonts w:eastAsia="宋体" w:cs="Arial"/>
          <w:bCs/>
          <w:spacing w:val="3"/>
          <w:kern w:val="0"/>
          <w:sz w:val="24"/>
          <w:szCs w:val="24"/>
        </w:rPr>
        <w:t>RNAase</w:t>
      </w:r>
      <w:proofErr w:type="spellEnd"/>
      <w:r w:rsidRPr="003828B7">
        <w:rPr>
          <w:rFonts w:eastAsia="宋体" w:cs="Arial"/>
          <w:bCs/>
          <w:spacing w:val="3"/>
          <w:kern w:val="0"/>
          <w:sz w:val="24"/>
          <w:szCs w:val="24"/>
        </w:rPr>
        <w:t xml:space="preserve"> (100 µg/mL) for 3 0min at 37</w:t>
      </w:r>
      <w:r w:rsidRPr="003828B7">
        <w:rPr>
          <w:rFonts w:ascii="微软雅黑" w:eastAsia="微软雅黑" w:hAnsi="微软雅黑" w:cs="微软雅黑" w:hint="eastAsia"/>
          <w:bCs/>
          <w:spacing w:val="3"/>
          <w:kern w:val="0"/>
          <w:sz w:val="24"/>
          <w:szCs w:val="24"/>
        </w:rPr>
        <w:t>℃</w:t>
      </w:r>
      <w:r w:rsidRPr="003828B7">
        <w:rPr>
          <w:rFonts w:eastAsia="宋体" w:cs="Arial"/>
          <w:bCs/>
          <w:spacing w:val="3"/>
          <w:kern w:val="0"/>
          <w:sz w:val="24"/>
          <w:szCs w:val="24"/>
        </w:rPr>
        <w:t xml:space="preserve">. The cells were washed once with 1 × PBS and incubated with PI (10 µg/ml) for 15 min. </w:t>
      </w:r>
    </w:p>
    <w:p w14:paraId="7BB58E67" w14:textId="77777777" w:rsidR="009F2716" w:rsidRPr="003828B7" w:rsidRDefault="009F2716" w:rsidP="009F2716">
      <w:pPr>
        <w:widowControl/>
        <w:spacing w:line="360" w:lineRule="auto"/>
        <w:rPr>
          <w:rFonts w:eastAsia="宋体" w:cs="Arial"/>
          <w:bCs/>
          <w:spacing w:val="3"/>
          <w:kern w:val="0"/>
          <w:sz w:val="24"/>
          <w:szCs w:val="24"/>
        </w:rPr>
      </w:pPr>
    </w:p>
    <w:p w14:paraId="7F250624" w14:textId="77777777" w:rsidR="009F2716" w:rsidRPr="003828B7" w:rsidRDefault="009F2716" w:rsidP="009F2716">
      <w:pPr>
        <w:widowControl/>
        <w:shd w:val="clear" w:color="auto" w:fill="FFFFFF"/>
        <w:spacing w:line="360" w:lineRule="auto"/>
        <w:outlineLvl w:val="2"/>
        <w:rPr>
          <w:rFonts w:cs="Arial"/>
          <w:sz w:val="24"/>
          <w:szCs w:val="24"/>
        </w:rPr>
      </w:pPr>
    </w:p>
    <w:p w14:paraId="4A6995AE" w14:textId="77777777" w:rsidR="009F2716" w:rsidRPr="003828B7" w:rsidRDefault="009F2716" w:rsidP="009F2716">
      <w:pPr>
        <w:widowControl/>
        <w:shd w:val="clear" w:color="auto" w:fill="FFFFFF"/>
        <w:spacing w:line="360" w:lineRule="auto"/>
        <w:ind w:left="120" w:hangingChars="50" w:hanging="120"/>
        <w:outlineLvl w:val="2"/>
        <w:rPr>
          <w:rFonts w:cs="Arial"/>
          <w:sz w:val="24"/>
          <w:szCs w:val="24"/>
        </w:rPr>
      </w:pPr>
      <w:r w:rsidRPr="003828B7">
        <w:rPr>
          <w:rFonts w:cs="Arial"/>
          <w:b/>
          <w:sz w:val="24"/>
          <w:szCs w:val="24"/>
        </w:rPr>
        <w:t>Statistical Analysis and Bioinformatics</w:t>
      </w:r>
    </w:p>
    <w:p w14:paraId="4F9FFEC4" w14:textId="7F5EBD20" w:rsidR="009F2716" w:rsidRPr="003828B7" w:rsidRDefault="009F2716" w:rsidP="009F2716">
      <w:pPr>
        <w:widowControl/>
        <w:shd w:val="clear" w:color="auto" w:fill="FFFFFF"/>
        <w:spacing w:line="360" w:lineRule="auto"/>
        <w:outlineLvl w:val="2"/>
        <w:rPr>
          <w:rFonts w:cs="Arial"/>
          <w:b/>
          <w:kern w:val="0"/>
          <w:sz w:val="24"/>
          <w:szCs w:val="24"/>
        </w:rPr>
      </w:pPr>
      <w:proofErr w:type="spellStart"/>
      <w:r w:rsidRPr="003828B7">
        <w:rPr>
          <w:rFonts w:cs="Arial"/>
          <w:sz w:val="24"/>
          <w:szCs w:val="24"/>
        </w:rPr>
        <w:t>Isobolographic</w:t>
      </w:r>
      <w:proofErr w:type="spellEnd"/>
      <w:r w:rsidRPr="003828B7">
        <w:rPr>
          <w:rFonts w:cs="Arial"/>
          <w:sz w:val="24"/>
          <w:szCs w:val="24"/>
        </w:rPr>
        <w:t xml:space="preserve"> analysis: determination of the synergistic of etoposide, cisplatin, </w:t>
      </w:r>
      <w:proofErr w:type="spellStart"/>
      <w:r w:rsidRPr="003828B7">
        <w:rPr>
          <w:rFonts w:cs="Arial"/>
          <w:sz w:val="24"/>
          <w:szCs w:val="24"/>
        </w:rPr>
        <w:t>hcl</w:t>
      </w:r>
      <w:proofErr w:type="spellEnd"/>
      <w:r w:rsidRPr="003828B7">
        <w:rPr>
          <w:rFonts w:cs="Arial"/>
          <w:sz w:val="24"/>
          <w:szCs w:val="24"/>
        </w:rPr>
        <w:t xml:space="preserve">-gemcitabine and </w:t>
      </w:r>
      <w:proofErr w:type="spellStart"/>
      <w:r w:rsidRPr="003828B7">
        <w:rPr>
          <w:rFonts w:cs="Arial"/>
          <w:sz w:val="24"/>
          <w:szCs w:val="24"/>
        </w:rPr>
        <w:t>chidamide</w:t>
      </w:r>
      <w:proofErr w:type="spellEnd"/>
      <w:r w:rsidRPr="003828B7">
        <w:rPr>
          <w:rFonts w:cs="Arial"/>
          <w:sz w:val="24"/>
          <w:szCs w:val="24"/>
        </w:rPr>
        <w:t xml:space="preserve"> was performed by the combination index (CI) method described by Ting-Chao Chou and Nick Martin (</w:t>
      </w:r>
      <w:proofErr w:type="spellStart"/>
      <w:r w:rsidRPr="003828B7">
        <w:rPr>
          <w:rFonts w:cs="Arial"/>
          <w:sz w:val="24"/>
          <w:szCs w:val="24"/>
        </w:rPr>
        <w:t>ComboSyn</w:t>
      </w:r>
      <w:proofErr w:type="spellEnd"/>
      <w:r w:rsidRPr="003828B7">
        <w:rPr>
          <w:rFonts w:cs="Arial"/>
          <w:sz w:val="24"/>
          <w:szCs w:val="24"/>
        </w:rPr>
        <w:t xml:space="preserve"> software). When at least 80% of CI values for a combination were less than one, the drug combination </w:t>
      </w:r>
      <w:proofErr w:type="gramStart"/>
      <w:r w:rsidRPr="003828B7">
        <w:rPr>
          <w:rFonts w:cs="Arial"/>
          <w:sz w:val="24"/>
          <w:szCs w:val="24"/>
        </w:rPr>
        <w:t>was considered to be</w:t>
      </w:r>
      <w:proofErr w:type="gramEnd"/>
      <w:r w:rsidRPr="003828B7">
        <w:rPr>
          <w:rFonts w:cs="Arial"/>
          <w:sz w:val="24"/>
          <w:szCs w:val="24"/>
        </w:rPr>
        <w:t xml:space="preserve"> synergistic.</w:t>
      </w:r>
      <w:r w:rsidRPr="003828B7">
        <w:rPr>
          <w:rFonts w:cs="Arial" w:hint="eastAsia"/>
          <w:sz w:val="24"/>
          <w:szCs w:val="24"/>
        </w:rPr>
        <w:t xml:space="preserve"> </w:t>
      </w:r>
      <w:r w:rsidRPr="003828B7">
        <w:rPr>
          <w:rFonts w:cs="Arial"/>
          <w:sz w:val="24"/>
          <w:szCs w:val="24"/>
        </w:rPr>
        <w:t xml:space="preserve">Bioinformatics: the GSEA v2.0 software (http://www.broad.mit.edu/gsea) was used to perform gene set enrichment analysis (GSEA) </w:t>
      </w:r>
      <w:r w:rsidRPr="003828B7">
        <w:rPr>
          <w:rFonts w:cs="Arial"/>
          <w:sz w:val="24"/>
          <w:szCs w:val="24"/>
        </w:rPr>
        <w:fldChar w:fldCharType="begin"/>
      </w:r>
      <w:r w:rsidRPr="003828B7">
        <w:rPr>
          <w:rFonts w:cs="Arial"/>
          <w:sz w:val="24"/>
          <w:szCs w:val="24"/>
        </w:rPr>
        <w:instrText xml:space="preserve"> ADDIN EN.CITE &lt;EndNote&gt;&lt;Cite&gt;&lt;Author&gt;Subramanian&lt;/Author&gt;&lt;Year&gt;2005&lt;/Year&gt;&lt;RecNum&gt;28&lt;/RecNum&gt;&lt;DisplayText&gt;&lt;style face="superscript"&gt;2&lt;/style&gt;&lt;/DisplayText&gt;&lt;record&gt;&lt;rec-number&gt;28&lt;/rec-number&gt;&lt;foreign-keys&gt;&lt;key app="EN" db-id="vfdvzdvdipadrwe9fr55p2aka5srztdtd0st" timestamp="0"&gt;28&lt;/key&gt;&lt;/foreign-keys&gt;&lt;ref-type name="Journal Article"&gt;17&lt;/ref-type&gt;&lt;contributors&gt;&lt;authors&gt;&lt;author&gt;Subramanian, Aravind&lt;/author&gt;&lt;author&gt;Tamayo, Pablo&lt;/author&gt;&lt;author&gt;Mootha, Vamsi K.&lt;/author&gt;&lt;author&gt;Mukherjee, Sayan&lt;/author&gt;&lt;author&gt;Ebert, Benjamin L.&lt;/author&gt;&lt;author&gt;Gillette, Michael A.&lt;/author&gt;&lt;author&gt;Paulovich, Amanda&lt;/author&gt;&lt;author&gt;Pomeroy, Scott L.&lt;/author&gt;&lt;author&gt;Golub, Todd R.&lt;/author&gt;&lt;author&gt;Lander, Eric S.&lt;/author&gt;&lt;author&gt;Mesirov, Jill P.&lt;/author&gt;&lt;/authors&gt;&lt;/contributors&gt;&lt;titles&gt;&lt;title&gt;Gene set enrichment analysis: A knowledge-based approach for interpreting genome-wide expression profiles&lt;/title&gt;&lt;secondary-title&gt;Proceedings of the National Academy of Sciences of the United States of America&lt;/secondary-title&gt;&lt;/titles&gt;&lt;periodical&gt;&lt;full-title&gt;Proc Natl Acad Sci U S A&lt;/full-title&gt;&lt;abbr-1&gt;Proceedings of the National Academy of Sciences of the United States of America&lt;/abbr-1&gt;&lt;/periodical&gt;&lt;pages&gt;15545-15550&lt;/pages&gt;&lt;volume&gt;102&lt;/volume&gt;&lt;number&gt;43&lt;/number&gt;&lt;dates&gt;&lt;year&gt;2005&lt;/year&gt;&lt;pub-dates&gt;&lt;date&gt;09/30&lt;/date&gt;&lt;/pub-dates&gt;&lt;/dates&gt;&lt;publisher&gt;National Academy of Sciences&lt;/publisher&gt;&lt;isbn&gt;0027-8424&amp;#xD;1091-6490&lt;/isbn&gt;&lt;accession-num&gt;PMC1239896&lt;/accession-num&gt;&lt;urls&gt;&lt;related-urls&gt;&lt;url&gt;http://www.ncbi.nlm.nih.gov/pmc/articles/PMC1239896/&lt;/url&gt;&lt;/related-urls&gt;&lt;/urls&gt;&lt;electronic-resource-num&gt;10.1073/pnas.0506580102&lt;/electronic-resource-num&gt;&lt;remote-database-name&gt;PMC&lt;/remote-database-name&gt;&lt;/record&gt;&lt;/Cite&gt;&lt;/EndNote&gt;</w:instrText>
      </w:r>
      <w:r w:rsidRPr="003828B7">
        <w:rPr>
          <w:rFonts w:cs="Arial"/>
          <w:sz w:val="24"/>
          <w:szCs w:val="24"/>
        </w:rPr>
        <w:fldChar w:fldCharType="separate"/>
      </w:r>
      <w:r w:rsidRPr="003828B7">
        <w:rPr>
          <w:rFonts w:cs="Arial"/>
          <w:noProof/>
          <w:sz w:val="24"/>
          <w:szCs w:val="24"/>
          <w:vertAlign w:val="superscript"/>
        </w:rPr>
        <w:t>2</w:t>
      </w:r>
      <w:r w:rsidRPr="003828B7">
        <w:rPr>
          <w:rFonts w:cs="Arial"/>
          <w:sz w:val="24"/>
          <w:szCs w:val="24"/>
        </w:rPr>
        <w:fldChar w:fldCharType="end"/>
      </w:r>
      <w:r w:rsidRPr="003828B7">
        <w:rPr>
          <w:rFonts w:cs="Arial"/>
          <w:sz w:val="24"/>
          <w:szCs w:val="24"/>
        </w:rPr>
        <w:t>.</w:t>
      </w:r>
      <w:r w:rsidRPr="003828B7">
        <w:rPr>
          <w:rFonts w:cs="Arial" w:hint="eastAsia"/>
          <w:sz w:val="24"/>
          <w:szCs w:val="24"/>
        </w:rPr>
        <w:t xml:space="preserve"> </w:t>
      </w:r>
      <w:r w:rsidRPr="003828B7">
        <w:rPr>
          <w:rFonts w:cs="Arial"/>
          <w:sz w:val="24"/>
          <w:szCs w:val="24"/>
        </w:rPr>
        <w:t>All other statistical analyses were performed using GraphPad Prism software. Unpaired student’s t test was used for comparison of groups of samples of equal variance.</w:t>
      </w:r>
      <w:r w:rsidRPr="003828B7">
        <w:t xml:space="preserve"> </w:t>
      </w:r>
      <w:r w:rsidRPr="003828B7">
        <w:rPr>
          <w:rFonts w:cs="Arial"/>
          <w:sz w:val="24"/>
          <w:szCs w:val="24"/>
        </w:rPr>
        <w:t>The IC50 was calculated using GraphPad Prism software as following Open GraphPad software, select "XY", then click "</w:t>
      </w:r>
      <w:proofErr w:type="spellStart"/>
      <w:r w:rsidRPr="003828B7">
        <w:rPr>
          <w:rFonts w:cs="Arial"/>
          <w:sz w:val="24"/>
          <w:szCs w:val="24"/>
        </w:rPr>
        <w:t>Create</w:t>
      </w:r>
      <w:proofErr w:type="gramStart"/>
      <w:r w:rsidRPr="003828B7">
        <w:rPr>
          <w:rFonts w:cs="Arial"/>
          <w:sz w:val="24"/>
          <w:szCs w:val="24"/>
        </w:rPr>
        <w:t>".Click</w:t>
      </w:r>
      <w:proofErr w:type="spellEnd"/>
      <w:proofErr w:type="gramEnd"/>
      <w:r w:rsidRPr="003828B7">
        <w:rPr>
          <w:rFonts w:cs="Arial"/>
          <w:sz w:val="24"/>
          <w:szCs w:val="24"/>
        </w:rPr>
        <w:t xml:space="preserve"> “Analysis” and choose “Transform concentrations (X)” select “</w:t>
      </w:r>
      <w:proofErr w:type="spellStart"/>
      <w:r w:rsidRPr="003828B7">
        <w:rPr>
          <w:rFonts w:cs="Arial"/>
          <w:sz w:val="24"/>
          <w:szCs w:val="24"/>
        </w:rPr>
        <w:t>Transfom</w:t>
      </w:r>
      <w:proofErr w:type="spellEnd"/>
      <w:r w:rsidRPr="003828B7">
        <w:rPr>
          <w:rFonts w:cs="Arial"/>
          <w:sz w:val="24"/>
          <w:szCs w:val="24"/>
        </w:rPr>
        <w:t xml:space="preserve"> to </w:t>
      </w:r>
      <w:proofErr w:type="spellStart"/>
      <w:r w:rsidRPr="003828B7">
        <w:rPr>
          <w:rFonts w:cs="Arial"/>
          <w:sz w:val="24"/>
          <w:szCs w:val="24"/>
        </w:rPr>
        <w:t>logarithms”.Click</w:t>
      </w:r>
      <w:proofErr w:type="spellEnd"/>
      <w:r w:rsidRPr="003828B7">
        <w:rPr>
          <w:rFonts w:cs="Arial"/>
          <w:sz w:val="24"/>
          <w:szCs w:val="24"/>
        </w:rPr>
        <w:t xml:space="preserve"> “Analysis” again, then click the "Nonlinear </w:t>
      </w:r>
      <w:r w:rsidRPr="003828B7">
        <w:rPr>
          <w:rFonts w:cs="Arial"/>
          <w:sz w:val="24"/>
          <w:szCs w:val="24"/>
        </w:rPr>
        <w:lastRenderedPageBreak/>
        <w:t xml:space="preserve">Regression (Curve Fit)" and select "Log (Inhibition) vs. Normalized Response -- Variable </w:t>
      </w:r>
      <w:proofErr w:type="spellStart"/>
      <w:r w:rsidRPr="003828B7">
        <w:rPr>
          <w:rFonts w:cs="Arial"/>
          <w:sz w:val="24"/>
          <w:szCs w:val="24"/>
        </w:rPr>
        <w:t>Slope".Click</w:t>
      </w:r>
      <w:proofErr w:type="spellEnd"/>
      <w:r w:rsidRPr="003828B7">
        <w:rPr>
          <w:rFonts w:cs="Arial"/>
          <w:sz w:val="24"/>
          <w:szCs w:val="24"/>
        </w:rPr>
        <w:t xml:space="preserve"> “OK” to get the calculated IC50.</w:t>
      </w:r>
    </w:p>
    <w:p w14:paraId="08215841" w14:textId="77777777" w:rsidR="009F2716" w:rsidRPr="003828B7" w:rsidRDefault="009F2716"/>
    <w:p w14:paraId="6D34FF45" w14:textId="77777777" w:rsidR="009F2716" w:rsidRPr="003828B7" w:rsidRDefault="009F2716"/>
    <w:p w14:paraId="1E68195B" w14:textId="77777777" w:rsidR="009F2716" w:rsidRPr="003828B7" w:rsidRDefault="009F2716" w:rsidP="009F2716">
      <w:pPr>
        <w:pStyle w:val="EndNoteBibliography"/>
        <w:ind w:left="720" w:hanging="720"/>
      </w:pPr>
      <w:r w:rsidRPr="003828B7">
        <w:fldChar w:fldCharType="begin"/>
      </w:r>
      <w:r w:rsidRPr="003828B7">
        <w:instrText xml:space="preserve"> ADDIN EN.REFLIST </w:instrText>
      </w:r>
      <w:r w:rsidRPr="003828B7">
        <w:fldChar w:fldCharType="separate"/>
      </w:r>
      <w:r w:rsidRPr="003828B7">
        <w:t>1.</w:t>
      </w:r>
      <w:r w:rsidRPr="003828B7">
        <w:tab/>
        <w:t>Lan F, Collins RE, De Cegli R, Alpatov R, Horton JR, Shi X</w:t>
      </w:r>
      <w:r w:rsidRPr="003828B7">
        <w:rPr>
          <w:i/>
        </w:rPr>
        <w:t>, et al.</w:t>
      </w:r>
      <w:r w:rsidRPr="003828B7">
        <w:t xml:space="preserve"> Recognition of unmethylated histone H3 lysine 4 links BHC80 to LSD1-mediated gene repression. </w:t>
      </w:r>
      <w:r w:rsidRPr="003828B7">
        <w:rPr>
          <w:i/>
        </w:rPr>
        <w:t>Nature</w:t>
      </w:r>
      <w:r w:rsidRPr="003828B7">
        <w:t xml:space="preserve"> 2007, </w:t>
      </w:r>
      <w:r w:rsidRPr="003828B7">
        <w:rPr>
          <w:b/>
        </w:rPr>
        <w:t>448</w:t>
      </w:r>
      <w:r w:rsidRPr="003828B7">
        <w:t>(7154)</w:t>
      </w:r>
      <w:r w:rsidRPr="003828B7">
        <w:rPr>
          <w:b/>
        </w:rPr>
        <w:t>:</w:t>
      </w:r>
      <w:r w:rsidRPr="003828B7">
        <w:t xml:space="preserve"> 718-722.</w:t>
      </w:r>
    </w:p>
    <w:p w14:paraId="3EC0EBC5" w14:textId="77777777" w:rsidR="009F2716" w:rsidRPr="003828B7" w:rsidRDefault="009F2716" w:rsidP="009F2716">
      <w:pPr>
        <w:pStyle w:val="EndNoteBibliography"/>
      </w:pPr>
    </w:p>
    <w:p w14:paraId="6793AAB4" w14:textId="77777777" w:rsidR="009F2716" w:rsidRPr="003828B7" w:rsidRDefault="009F2716" w:rsidP="009F2716">
      <w:pPr>
        <w:pStyle w:val="EndNoteBibliography"/>
        <w:ind w:left="720" w:hanging="720"/>
      </w:pPr>
      <w:r w:rsidRPr="003828B7">
        <w:t>2.</w:t>
      </w:r>
      <w:r w:rsidRPr="003828B7">
        <w:tab/>
        <w:t>Subramanian A, Tamayo P, Mootha VK, Mukherjee S, Ebert BL, Gillette MA</w:t>
      </w:r>
      <w:r w:rsidRPr="003828B7">
        <w:rPr>
          <w:i/>
        </w:rPr>
        <w:t>, et al.</w:t>
      </w:r>
      <w:r w:rsidRPr="003828B7">
        <w:t xml:space="preserve"> Gene set enrichment analysis: A knowledge-based approach for interpreting genome-wide expression profiles. </w:t>
      </w:r>
      <w:r w:rsidRPr="003828B7">
        <w:rPr>
          <w:i/>
        </w:rPr>
        <w:t>Proceedings of the National Academy of Sciences of the United States of America</w:t>
      </w:r>
      <w:r w:rsidRPr="003828B7">
        <w:t xml:space="preserve"> 2005, </w:t>
      </w:r>
      <w:r w:rsidRPr="003828B7">
        <w:rPr>
          <w:b/>
        </w:rPr>
        <w:t>102</w:t>
      </w:r>
      <w:r w:rsidRPr="003828B7">
        <w:t>(43)</w:t>
      </w:r>
      <w:r w:rsidRPr="003828B7">
        <w:rPr>
          <w:b/>
        </w:rPr>
        <w:t>:</w:t>
      </w:r>
      <w:r w:rsidRPr="003828B7">
        <w:t xml:space="preserve"> 15545-15550.</w:t>
      </w:r>
    </w:p>
    <w:p w14:paraId="151467C4" w14:textId="77777777" w:rsidR="009F2716" w:rsidRPr="003828B7" w:rsidRDefault="009F2716" w:rsidP="009F2716">
      <w:pPr>
        <w:pStyle w:val="EndNoteBibliography"/>
      </w:pPr>
    </w:p>
    <w:p w14:paraId="07FA84C7" w14:textId="417A2C7E" w:rsidR="007E014B" w:rsidRPr="003828B7" w:rsidRDefault="009F2716">
      <w:r w:rsidRPr="003828B7">
        <w:fldChar w:fldCharType="end"/>
      </w:r>
    </w:p>
    <w:sectPr w:rsidR="007E014B" w:rsidRPr="003828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9447B" w14:textId="77777777" w:rsidR="00C92D54" w:rsidRDefault="00C92D54" w:rsidP="009F2716">
      <w:r>
        <w:separator/>
      </w:r>
    </w:p>
  </w:endnote>
  <w:endnote w:type="continuationSeparator" w:id="0">
    <w:p w14:paraId="799726E6" w14:textId="77777777" w:rsidR="00C92D54" w:rsidRDefault="00C92D54" w:rsidP="009F2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44D11" w14:textId="77777777" w:rsidR="00C92D54" w:rsidRDefault="00C92D54" w:rsidP="009F2716">
      <w:r>
        <w:separator/>
      </w:r>
    </w:p>
  </w:footnote>
  <w:footnote w:type="continuationSeparator" w:id="0">
    <w:p w14:paraId="4E497B1D" w14:textId="77777777" w:rsidR="00C92D54" w:rsidRDefault="00C92D54" w:rsidP="009F27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ell Death Disease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47BB0"/>
    <w:rsid w:val="003828B7"/>
    <w:rsid w:val="00782E0D"/>
    <w:rsid w:val="007E014B"/>
    <w:rsid w:val="009F2716"/>
    <w:rsid w:val="00C47BB0"/>
    <w:rsid w:val="00C92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8C95AC7-98B8-47F0-B810-E578D0248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7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271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2716"/>
    <w:rPr>
      <w:sz w:val="18"/>
      <w:szCs w:val="18"/>
    </w:rPr>
  </w:style>
  <w:style w:type="paragraph" w:styleId="a5">
    <w:name w:val="footer"/>
    <w:basedOn w:val="a"/>
    <w:link w:val="a6"/>
    <w:uiPriority w:val="99"/>
    <w:unhideWhenUsed/>
    <w:rsid w:val="009F2716"/>
    <w:pPr>
      <w:tabs>
        <w:tab w:val="center" w:pos="4153"/>
        <w:tab w:val="right" w:pos="8306"/>
      </w:tabs>
      <w:snapToGrid w:val="0"/>
      <w:jc w:val="left"/>
    </w:pPr>
    <w:rPr>
      <w:sz w:val="18"/>
      <w:szCs w:val="18"/>
    </w:rPr>
  </w:style>
  <w:style w:type="character" w:customStyle="1" w:styleId="a6">
    <w:name w:val="页脚 字符"/>
    <w:basedOn w:val="a0"/>
    <w:link w:val="a5"/>
    <w:uiPriority w:val="99"/>
    <w:rsid w:val="009F2716"/>
    <w:rPr>
      <w:sz w:val="18"/>
      <w:szCs w:val="18"/>
    </w:rPr>
  </w:style>
  <w:style w:type="paragraph" w:customStyle="1" w:styleId="EndNoteBibliographyTitle">
    <w:name w:val="EndNote Bibliography Title"/>
    <w:basedOn w:val="a"/>
    <w:link w:val="EndNoteBibliographyTitle0"/>
    <w:rsid w:val="009F2716"/>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9F2716"/>
    <w:rPr>
      <w:rFonts w:ascii="等线" w:eastAsia="等线" w:hAnsi="等线"/>
      <w:noProof/>
      <w:sz w:val="20"/>
    </w:rPr>
  </w:style>
  <w:style w:type="paragraph" w:customStyle="1" w:styleId="EndNoteBibliography">
    <w:name w:val="EndNote Bibliography"/>
    <w:basedOn w:val="a"/>
    <w:link w:val="EndNoteBibliography0"/>
    <w:rsid w:val="009F2716"/>
    <w:rPr>
      <w:rFonts w:ascii="等线" w:eastAsia="等线" w:hAnsi="等线"/>
      <w:noProof/>
      <w:sz w:val="20"/>
    </w:rPr>
  </w:style>
  <w:style w:type="character" w:customStyle="1" w:styleId="EndNoteBibliography0">
    <w:name w:val="EndNote Bibliography 字符"/>
    <w:basedOn w:val="a0"/>
    <w:link w:val="EndNoteBibliography"/>
    <w:rsid w:val="009F2716"/>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1345</Words>
  <Characters>7671</Characters>
  <Application>Microsoft Office Word</Application>
  <DocSecurity>0</DocSecurity>
  <Lines>63</Lines>
  <Paragraphs>17</Paragraphs>
  <ScaleCrop>false</ScaleCrop>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 Li</dc:creator>
  <cp:keywords/>
  <dc:description/>
  <cp:lastModifiedBy>Ran Li</cp:lastModifiedBy>
  <cp:revision>3</cp:revision>
  <dcterms:created xsi:type="dcterms:W3CDTF">2021-08-04T04:36:00Z</dcterms:created>
  <dcterms:modified xsi:type="dcterms:W3CDTF">2021-08-18T00:17:00Z</dcterms:modified>
</cp:coreProperties>
</file>