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2EB4C" w14:textId="47A49CF0" w:rsidR="008E7128" w:rsidRDefault="002F16B0">
      <w:r>
        <w:rPr>
          <w:noProof/>
        </w:rPr>
        <w:drawing>
          <wp:inline distT="0" distB="0" distL="0" distR="0" wp14:anchorId="420803B7" wp14:editId="33A47837">
            <wp:extent cx="5943600" cy="37160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3716020"/>
                    </a:xfrm>
                    <a:prstGeom prst="rect">
                      <a:avLst/>
                    </a:prstGeom>
                  </pic:spPr>
                </pic:pic>
              </a:graphicData>
            </a:graphic>
          </wp:inline>
        </w:drawing>
      </w:r>
    </w:p>
    <w:p w14:paraId="461F6688" w14:textId="77777777" w:rsidR="002F16B0" w:rsidRPr="009733D4" w:rsidRDefault="002F16B0" w:rsidP="002F16B0">
      <w:pPr>
        <w:spacing w:line="480" w:lineRule="auto"/>
        <w:rPr>
          <w:rFonts w:ascii="Cambria" w:hAnsi="Cambria" w:cstheme="minorHAnsi"/>
          <w:color w:val="000000" w:themeColor="text1"/>
        </w:rPr>
      </w:pPr>
      <w:r w:rsidRPr="009733D4">
        <w:rPr>
          <w:rFonts w:ascii="Cambria" w:hAnsi="Cambria" w:cstheme="minorHAnsi"/>
          <w:b/>
          <w:bCs/>
          <w:color w:val="000000" w:themeColor="text1"/>
        </w:rPr>
        <w:t>Supplementary Figure 1.</w:t>
      </w:r>
      <w:r w:rsidRPr="009733D4">
        <w:rPr>
          <w:rFonts w:ascii="Cambria" w:hAnsi="Cambria" w:cstheme="minorHAnsi"/>
          <w:color w:val="000000" w:themeColor="text1"/>
        </w:rPr>
        <w:t xml:space="preserve"> Expression profiling of six candidate genes within SNc and VTA during aging, including TH, DAT, Nurr1, Aldh1a1, GDNF, and BDNF. The IFC intensity of six candidate genes was examined in SNc and VTA from 6-, 11-, and 15-month-old </w:t>
      </w:r>
      <w:r w:rsidRPr="009733D4">
        <w:rPr>
          <w:rFonts w:ascii="Cambria" w:hAnsi="Cambria" w:cstheme="minorHAnsi"/>
          <w:i/>
          <w:iCs/>
          <w:color w:val="000000" w:themeColor="text1"/>
        </w:rPr>
        <w:t>Pitx3</w:t>
      </w:r>
      <w:r w:rsidRPr="009733D4">
        <w:rPr>
          <w:rFonts w:ascii="Cambria" w:hAnsi="Cambria" w:cstheme="minorHAnsi"/>
          <w:i/>
          <w:iCs/>
          <w:color w:val="000000" w:themeColor="text1"/>
          <w:vertAlign w:val="superscript"/>
        </w:rPr>
        <w:t>cWT</w:t>
      </w:r>
      <w:r w:rsidRPr="009733D4">
        <w:rPr>
          <w:rFonts w:ascii="Cambria" w:hAnsi="Cambria" w:cstheme="minorHAnsi"/>
          <w:color w:val="000000" w:themeColor="text1"/>
        </w:rPr>
        <w:t xml:space="preserve"> and </w:t>
      </w:r>
      <w:r w:rsidRPr="009733D4">
        <w:rPr>
          <w:rFonts w:ascii="Cambria" w:hAnsi="Cambria" w:cstheme="minorHAnsi"/>
          <w:i/>
          <w:iCs/>
          <w:color w:val="000000" w:themeColor="text1"/>
        </w:rPr>
        <w:t>Pitx3</w:t>
      </w:r>
      <w:r w:rsidRPr="009733D4">
        <w:rPr>
          <w:rFonts w:ascii="Cambria" w:hAnsi="Cambria" w:cstheme="minorHAnsi"/>
          <w:i/>
          <w:iCs/>
          <w:color w:val="000000" w:themeColor="text1"/>
          <w:vertAlign w:val="superscript"/>
        </w:rPr>
        <w:t>cKO</w:t>
      </w:r>
      <w:r w:rsidRPr="009733D4">
        <w:rPr>
          <w:rFonts w:ascii="Cambria" w:hAnsi="Cambria" w:cstheme="minorHAnsi"/>
          <w:color w:val="000000" w:themeColor="text1"/>
        </w:rPr>
        <w:t xml:space="preserve"> mice. To simplify things, the distribution patterns of the different genes within SNc and VTA </w:t>
      </w:r>
      <w:r w:rsidRPr="009733D4">
        <w:rPr>
          <w:rFonts w:ascii="Cambria" w:hAnsi="Cambria" w:cstheme="minorHAnsi" w:hint="eastAsia"/>
          <w:color w:val="000000" w:themeColor="text1"/>
        </w:rPr>
        <w:t>a</w:t>
      </w:r>
      <w:r w:rsidRPr="009733D4">
        <w:rPr>
          <w:rFonts w:ascii="Cambria" w:hAnsi="Cambria" w:cstheme="minorHAnsi"/>
          <w:color w:val="000000" w:themeColor="text1"/>
        </w:rPr>
        <w:t>re roughly described in schematic images, but not their exact localization to distinct neuronal subtypes.</w:t>
      </w:r>
    </w:p>
    <w:p w14:paraId="11257D8E" w14:textId="51DF79AA" w:rsidR="002F16B0" w:rsidRPr="002130E1" w:rsidRDefault="002F16B0" w:rsidP="002130E1">
      <w:pPr>
        <w:spacing w:line="480" w:lineRule="auto"/>
        <w:ind w:firstLine="220"/>
        <w:rPr>
          <w:rFonts w:ascii="Cambria" w:hAnsi="Cambria"/>
        </w:rPr>
      </w:pPr>
      <w:r w:rsidRPr="009733D4">
        <w:rPr>
          <w:rFonts w:ascii="Cambria" w:hAnsi="Cambria" w:cstheme="minorHAnsi" w:hint="eastAsia"/>
          <w:noProof/>
          <w:color w:val="000000" w:themeColor="text1"/>
          <w:lang w:eastAsia="en-US"/>
        </w:rPr>
        <mc:AlternateContent>
          <mc:Choice Requires="wps">
            <w:drawing>
              <wp:anchor distT="0" distB="0" distL="114300" distR="114300" simplePos="0" relativeHeight="251662336" behindDoc="0" locked="0" layoutInCell="1" allowOverlap="1" wp14:anchorId="3E5B0AFA" wp14:editId="68D6326A">
                <wp:simplePos x="0" y="0"/>
                <wp:positionH relativeFrom="column">
                  <wp:posOffset>2175221</wp:posOffset>
                </wp:positionH>
                <wp:positionV relativeFrom="paragraph">
                  <wp:posOffset>735330</wp:posOffset>
                </wp:positionV>
                <wp:extent cx="106045" cy="115570"/>
                <wp:effectExtent l="12700" t="12700" r="8255" b="11430"/>
                <wp:wrapNone/>
                <wp:docPr id="6" name="Oval 6"/>
                <wp:cNvGraphicFramePr/>
                <a:graphic xmlns:a="http://schemas.openxmlformats.org/drawingml/2006/main">
                  <a:graphicData uri="http://schemas.microsoft.com/office/word/2010/wordprocessingShape">
                    <wps:wsp>
                      <wps:cNvSpPr/>
                      <wps:spPr>
                        <a:xfrm>
                          <a:off x="0" y="0"/>
                          <a:ext cx="106045" cy="115570"/>
                        </a:xfrm>
                        <a:prstGeom prst="ellipse">
                          <a:avLst/>
                        </a:prstGeom>
                        <a:solidFill>
                          <a:schemeClr val="accent2">
                            <a:lumMod val="60000"/>
                            <a:lumOff val="4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AF6DE" w14:textId="77777777" w:rsidR="002F16B0" w:rsidRPr="00925317" w:rsidRDefault="002F16B0" w:rsidP="002F16B0">
                            <w:pPr>
                              <w:jc w:val="center"/>
                              <w:rPr>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925317">
                              <w:rPr>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 xml:space="preserve">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5B0AFA" id="Oval 6" o:spid="_x0000_s1026" style="position:absolute;left:0;text-align:left;margin-left:171.3pt;margin-top:57.9pt;width:8.35pt;height: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" fillcolor="#f4b083 [1941]" strokecolor="#0070c0" strokeweight="1.5pt">
                <v:stroke joinstyle="miter"/>
                <v:textbox>
                  <w:txbxContent>
                    <w:p w14:paraId="753AF6DE" w14:textId="77777777" w:rsidR="002F16B0" w:rsidRPr="00925317" w:rsidRDefault="002F16B0" w:rsidP="002F16B0">
                      <w:pPr>
                        <w:jc w:val="center"/>
                        <w:rPr>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925317">
                        <w:rPr>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 xml:space="preserve">  T</w:t>
                      </w:r>
                    </w:p>
                  </w:txbxContent>
                </v:textbox>
              </v:oval>
            </w:pict>
          </mc:Fallback>
        </mc:AlternateContent>
      </w:r>
      <w:r w:rsidRPr="009733D4">
        <w:rPr>
          <w:rFonts w:ascii="Cambria" w:hAnsi="Cambria" w:cstheme="minorHAnsi" w:hint="eastAsia"/>
          <w:noProof/>
          <w:color w:val="000000" w:themeColor="text1"/>
          <w:lang w:eastAsia="en-US"/>
        </w:rPr>
        <mc:AlternateContent>
          <mc:Choice Requires="wps">
            <w:drawing>
              <wp:anchor distT="0" distB="0" distL="114300" distR="114300" simplePos="0" relativeHeight="251661312" behindDoc="0" locked="0" layoutInCell="1" allowOverlap="1" wp14:anchorId="17971EA5" wp14:editId="6D10E0CF">
                <wp:simplePos x="0" y="0"/>
                <wp:positionH relativeFrom="column">
                  <wp:posOffset>3062663</wp:posOffset>
                </wp:positionH>
                <wp:positionV relativeFrom="paragraph">
                  <wp:posOffset>381000</wp:posOffset>
                </wp:positionV>
                <wp:extent cx="106045" cy="115570"/>
                <wp:effectExtent l="12700" t="12700" r="8255" b="11430"/>
                <wp:wrapNone/>
                <wp:docPr id="8" name="Oval 8"/>
                <wp:cNvGraphicFramePr/>
                <a:graphic xmlns:a="http://schemas.openxmlformats.org/drawingml/2006/main">
                  <a:graphicData uri="http://schemas.microsoft.com/office/word/2010/wordprocessingShape">
                    <wps:wsp>
                      <wps:cNvSpPr/>
                      <wps:spPr>
                        <a:xfrm>
                          <a:off x="0" y="0"/>
                          <a:ext cx="106045" cy="115570"/>
                        </a:xfrm>
                        <a:prstGeom prst="ellipse">
                          <a:avLst/>
                        </a:prstGeom>
                        <a:solidFill>
                          <a:srgbClr val="C00000"/>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59521" w14:textId="77777777" w:rsidR="002F16B0" w:rsidRDefault="002F16B0" w:rsidP="002F16B0">
                            <w:pPr>
                              <w:jc w:val="center"/>
                            </w:pPr>
                            <w:r>
                              <w:t xml:space="preserve">  </w:t>
                            </w:r>
                            <w: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71EA5" id="Oval 8" o:spid="_x0000_s1027" style="position:absolute;left:0;text-align:left;margin-left:241.15pt;margin-top:30pt;width:8.35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" fillcolor="#c00000" strokecolor="#0070c0" strokeweight="1.5pt">
                <v:stroke joinstyle="miter"/>
                <v:textbox>
                  <w:txbxContent>
                    <w:p w14:paraId="76259521" w14:textId="77777777" w:rsidR="002F16B0" w:rsidRDefault="002F16B0" w:rsidP="002F16B0">
                      <w:pPr>
                        <w:jc w:val="center"/>
                      </w:pPr>
                      <w:r>
                        <w:t xml:space="preserve">  </w:t>
                      </w:r>
                      <w:r>
                        <w:t>T</w:t>
                      </w:r>
                    </w:p>
                  </w:txbxContent>
                </v:textbox>
              </v:oval>
            </w:pict>
          </mc:Fallback>
        </mc:AlternateContent>
      </w:r>
      <w:r w:rsidRPr="009733D4">
        <w:rPr>
          <w:rFonts w:ascii="Cambria" w:hAnsi="Cambria" w:cstheme="minorHAnsi" w:hint="eastAsia"/>
          <w:noProof/>
          <w:color w:val="000000" w:themeColor="text1"/>
          <w:lang w:eastAsia="en-US"/>
        </w:rPr>
        <mc:AlternateContent>
          <mc:Choice Requires="wps">
            <w:drawing>
              <wp:anchor distT="0" distB="0" distL="114300" distR="114300" simplePos="0" relativeHeight="251660288" behindDoc="0" locked="0" layoutInCell="1" allowOverlap="1" wp14:anchorId="00ACCAA8" wp14:editId="7FE74188">
                <wp:simplePos x="0" y="0"/>
                <wp:positionH relativeFrom="column">
                  <wp:posOffset>4523042</wp:posOffset>
                </wp:positionH>
                <wp:positionV relativeFrom="paragraph">
                  <wp:posOffset>24765</wp:posOffset>
                </wp:positionV>
                <wp:extent cx="106091" cy="116195"/>
                <wp:effectExtent l="0" t="0" r="27305" b="17780"/>
                <wp:wrapNone/>
                <wp:docPr id="9" name="Oval 9"/>
                <wp:cNvGraphicFramePr/>
                <a:graphic xmlns:a="http://schemas.openxmlformats.org/drawingml/2006/main">
                  <a:graphicData uri="http://schemas.microsoft.com/office/word/2010/wordprocessingShape">
                    <wps:wsp>
                      <wps:cNvSpPr/>
                      <wps:spPr>
                        <a:xfrm>
                          <a:off x="0" y="0"/>
                          <a:ext cx="106091" cy="116195"/>
                        </a:xfrm>
                        <a:prstGeom prst="ellipse">
                          <a:avLst/>
                        </a:prstGeom>
                        <a:solidFill>
                          <a:schemeClr val="accent2">
                            <a:lumMod val="60000"/>
                            <a:lumOff val="40000"/>
                          </a:schemeClr>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57118" id="Oval 9" o:spid="_x0000_s1026" style="position:absolute;margin-left:356.15pt;margin-top:1.95pt;width:8.3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" fillcolor="#f4b083 [1941]" strokecolor="#00b050" strokeweight="1.5pt">
                <v:stroke joinstyle="miter"/>
              </v:oval>
            </w:pict>
          </mc:Fallback>
        </mc:AlternateContent>
      </w:r>
      <w:r w:rsidRPr="009733D4">
        <w:rPr>
          <w:rFonts w:ascii="Cambria" w:hAnsi="Cambria" w:cstheme="minorHAnsi" w:hint="eastAsia"/>
          <w:noProof/>
          <w:color w:val="000000" w:themeColor="text1"/>
          <w:lang w:eastAsia="en-US"/>
        </w:rPr>
        <mc:AlternateContent>
          <mc:Choice Requires="wps">
            <w:drawing>
              <wp:anchor distT="0" distB="0" distL="114300" distR="114300" simplePos="0" relativeHeight="251659264" behindDoc="0" locked="0" layoutInCell="1" allowOverlap="1" wp14:anchorId="65C9E894" wp14:editId="0DEC69FC">
                <wp:simplePos x="0" y="0"/>
                <wp:positionH relativeFrom="column">
                  <wp:posOffset>-33112</wp:posOffset>
                </wp:positionH>
                <wp:positionV relativeFrom="paragraph">
                  <wp:posOffset>22860</wp:posOffset>
                </wp:positionV>
                <wp:extent cx="106091" cy="116195"/>
                <wp:effectExtent l="0" t="0" r="27305" b="17780"/>
                <wp:wrapNone/>
                <wp:docPr id="15" name="Oval 15"/>
                <wp:cNvGraphicFramePr/>
                <a:graphic xmlns:a="http://schemas.openxmlformats.org/drawingml/2006/main">
                  <a:graphicData uri="http://schemas.microsoft.com/office/word/2010/wordprocessingShape">
                    <wps:wsp>
                      <wps:cNvSpPr/>
                      <wps:spPr>
                        <a:xfrm>
                          <a:off x="0" y="0"/>
                          <a:ext cx="106091" cy="116195"/>
                        </a:xfrm>
                        <a:prstGeom prst="ellipse">
                          <a:avLst/>
                        </a:prstGeom>
                        <a:solidFill>
                          <a:srgbClr val="C00000"/>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115CB3" id="Oval 15" o:spid="_x0000_s1026" style="position:absolute;margin-left:-2.6pt;margin-top:1.8pt;width:8.35pt;height: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" fillcolor="#c00000" strokecolor="#00b050" strokeweight="1.5pt">
                <v:stroke joinstyle="miter"/>
              </v:oval>
            </w:pict>
          </mc:Fallback>
        </mc:AlternateContent>
      </w:r>
      <w:r w:rsidRPr="009733D4">
        <w:rPr>
          <w:rFonts w:ascii="Cambria" w:hAnsi="Cambria" w:cstheme="minorHAnsi"/>
          <w:color w:val="000000" w:themeColor="text1"/>
        </w:rPr>
        <w:t xml:space="preserve">SNc mdDA neurons with a higher expression level of specific genes.     SNc mdDA neurons with a lower expression level of specific genes.     VTA mdDA neurons with a higher expression level of specific genes.    VTA mdDA neurons with a lower expression level of specific genes. TH, tyrosine hydroxylase; DAT, </w:t>
      </w:r>
      <w:r w:rsidRPr="009733D4">
        <w:rPr>
          <w:rFonts w:ascii="Cambria" w:hAnsi="Cambria" w:cstheme="minorHAnsi"/>
        </w:rPr>
        <w:t>dopamine transporter</w:t>
      </w:r>
      <w:r w:rsidRPr="009733D4">
        <w:rPr>
          <w:rFonts w:ascii="Cambria" w:hAnsi="Cambria" w:cstheme="minorHAnsi"/>
          <w:color w:val="000000" w:themeColor="text1"/>
        </w:rPr>
        <w:t xml:space="preserve">; Aldh1a1, </w:t>
      </w:r>
      <w:r w:rsidRPr="009733D4">
        <w:rPr>
          <w:rFonts w:ascii="Cambria" w:hAnsi="Cambria" w:cstheme="minorHAnsi"/>
        </w:rPr>
        <w:t xml:space="preserve">aldehyde dehydrogenase 1 family member 1; </w:t>
      </w:r>
      <w:r w:rsidRPr="009733D4">
        <w:rPr>
          <w:rFonts w:ascii="Cambria" w:hAnsi="Cambria" w:cstheme="minorHAnsi"/>
          <w:color w:val="000000" w:themeColor="text1"/>
        </w:rPr>
        <w:t xml:space="preserve">GDNF, glial cell-derived neurotrophic factor; BDNF, brain-derived neurotrophic factor; IFC, immunofluorescence; SNc, </w:t>
      </w:r>
      <w:r w:rsidRPr="009733D4">
        <w:rPr>
          <w:rFonts w:ascii="Cambria" w:hAnsi="Cambria" w:cstheme="minorHAnsi"/>
        </w:rPr>
        <w:t>substantia nigra pars compacta</w:t>
      </w:r>
      <w:r w:rsidRPr="009733D4">
        <w:rPr>
          <w:rFonts w:ascii="Cambria" w:hAnsi="Cambria" w:cstheme="minorHAnsi"/>
          <w:color w:val="000000" w:themeColor="text1"/>
        </w:rPr>
        <w:t xml:space="preserve">; VTA, ventral tegmental area; mdDA, </w:t>
      </w:r>
      <w:r w:rsidRPr="009733D4">
        <w:rPr>
          <w:rFonts w:ascii="Cambria" w:hAnsi="Cambria" w:cstheme="minorHAnsi"/>
        </w:rPr>
        <w:t>mesodiencephalic dopaminergic</w:t>
      </w:r>
      <w:r w:rsidRPr="009733D4">
        <w:rPr>
          <w:rFonts w:ascii="Cambria" w:hAnsi="Cambria"/>
        </w:rPr>
        <w:t>.</w:t>
      </w:r>
    </w:p>
    <w:sectPr w:rsidR="002F16B0" w:rsidRPr="002130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B0"/>
    <w:rsid w:val="002130E1"/>
    <w:rsid w:val="002F16B0"/>
    <w:rsid w:val="00895229"/>
    <w:rsid w:val="008E7128"/>
    <w:rsid w:val="00A6579E"/>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5984A86"/>
  <w15:chartTrackingRefBased/>
  <w15:docId w15:val="{D89ECAE6-8907-3B4B-B8C7-4BA6F588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office user</cp:lastModifiedBy>
  <cp:revision>2</cp:revision>
  <dcterms:created xsi:type="dcterms:W3CDTF">2021-09-23T04:59:00Z</dcterms:created>
  <dcterms:modified xsi:type="dcterms:W3CDTF">2021-09-23T05:00:00Z</dcterms:modified>
</cp:coreProperties>
</file>