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B39" w:rsidRPr="000D61FC" w:rsidRDefault="000D61FC">
      <w:pPr>
        <w:rPr>
          <w:rFonts w:ascii="Arial" w:hAnsi="Arial" w:cs="Arial"/>
          <w:b/>
          <w:bCs/>
          <w:sz w:val="24"/>
        </w:rPr>
      </w:pPr>
      <w:bookmarkStart w:id="0" w:name="_GoBack"/>
      <w:r w:rsidRPr="000D61FC">
        <w:rPr>
          <w:rFonts w:ascii="Arial" w:hAnsi="Arial" w:cs="Arial"/>
          <w:b/>
          <w:bCs/>
          <w:sz w:val="24"/>
        </w:rPr>
        <w:t>Supplementary legends</w:t>
      </w:r>
    </w:p>
    <w:bookmarkEnd w:id="0"/>
    <w:p w:rsidR="000D61FC" w:rsidRPr="00B24CB3" w:rsidRDefault="000D61FC" w:rsidP="000D61FC">
      <w:pPr>
        <w:spacing w:line="480" w:lineRule="auto"/>
        <w:rPr>
          <w:rFonts w:ascii="Arial" w:hAnsi="Arial" w:cs="Arial"/>
          <w:b/>
          <w:bCs/>
          <w:sz w:val="24"/>
        </w:rPr>
      </w:pPr>
      <w:r w:rsidRPr="00B24CB3">
        <w:rPr>
          <w:rFonts w:ascii="Arial" w:hAnsi="Arial" w:cs="Arial"/>
          <w:b/>
          <w:bCs/>
          <w:sz w:val="24"/>
        </w:rPr>
        <w:t>Fig. S1 Effects of MET on the viability of MGO-injured HUVECs</w:t>
      </w:r>
      <w:r w:rsidRPr="00B24CB3">
        <w:rPr>
          <w:rFonts w:ascii="Arial" w:hAnsi="Arial" w:cs="Arial"/>
          <w:sz w:val="24"/>
        </w:rPr>
        <w:t xml:space="preserve">. (A) HUVECs were </w:t>
      </w:r>
      <w:r w:rsidRPr="00B24CB3">
        <w:rPr>
          <w:rFonts w:ascii="Arial" w:eastAsia="宋体" w:hAnsi="Arial" w:cs="Arial"/>
          <w:sz w:val="24"/>
        </w:rPr>
        <w:t>treated</w:t>
      </w:r>
      <w:r w:rsidRPr="00B24CB3">
        <w:rPr>
          <w:rFonts w:ascii="Arial" w:hAnsi="Arial" w:cs="Arial"/>
          <w:sz w:val="24"/>
        </w:rPr>
        <w:t xml:space="preserve"> with MET (0, 0.1, 1, 10, 20, and 50 mM) for 2 h. (B) HUVECs were </w:t>
      </w:r>
      <w:r w:rsidRPr="00B24CB3">
        <w:rPr>
          <w:rFonts w:ascii="Arial" w:eastAsia="宋体" w:hAnsi="Arial" w:cs="Arial"/>
          <w:sz w:val="24"/>
        </w:rPr>
        <w:t>treated</w:t>
      </w:r>
      <w:r w:rsidRPr="00B24CB3">
        <w:rPr>
          <w:rFonts w:ascii="Arial" w:hAnsi="Arial" w:cs="Arial"/>
          <w:sz w:val="24"/>
        </w:rPr>
        <w:t xml:space="preserve"> with MGO at </w:t>
      </w:r>
      <w:r w:rsidRPr="00B24CB3">
        <w:rPr>
          <w:rFonts w:ascii="Arial" w:eastAsia="宋体" w:hAnsi="Arial" w:cs="Arial"/>
          <w:sz w:val="24"/>
        </w:rPr>
        <w:t>10 μM</w:t>
      </w:r>
      <w:r w:rsidRPr="00B24CB3">
        <w:rPr>
          <w:rFonts w:ascii="Arial" w:hAnsi="Arial" w:cs="Arial"/>
          <w:sz w:val="24"/>
        </w:rPr>
        <w:t xml:space="preserve">, 50 μM, 100 μM, 200 μM and 500 μM for 24 h. (C) HUVECs were </w:t>
      </w:r>
      <w:r w:rsidRPr="00B24CB3">
        <w:rPr>
          <w:rFonts w:ascii="Arial" w:eastAsia="宋体" w:hAnsi="Arial" w:cs="Arial"/>
          <w:sz w:val="24"/>
        </w:rPr>
        <w:t>pretreated</w:t>
      </w:r>
      <w:r w:rsidRPr="00B24CB3">
        <w:rPr>
          <w:rFonts w:ascii="Arial" w:hAnsi="Arial" w:cs="Arial"/>
          <w:sz w:val="24"/>
        </w:rPr>
        <w:t xml:space="preserve"> with (0, 0.1, 1, and 10 mM) MET for 2 h, followed by </w:t>
      </w:r>
      <w:r w:rsidRPr="00B24CB3">
        <w:rPr>
          <w:rFonts w:ascii="Arial" w:eastAsia="宋体" w:hAnsi="Arial" w:cs="Arial"/>
          <w:sz w:val="24"/>
        </w:rPr>
        <w:t>coincubation</w:t>
      </w:r>
      <w:r w:rsidRPr="00B24CB3">
        <w:rPr>
          <w:rFonts w:ascii="Arial" w:hAnsi="Arial" w:cs="Arial"/>
          <w:sz w:val="24"/>
        </w:rPr>
        <w:t xml:space="preserve"> with 200 μM MGO for 24 h. Cell viability was determined by </w:t>
      </w:r>
      <w:r w:rsidRPr="00B24CB3">
        <w:rPr>
          <w:rFonts w:ascii="Arial" w:eastAsia="宋体" w:hAnsi="Arial" w:cs="Arial"/>
          <w:sz w:val="24"/>
        </w:rPr>
        <w:t xml:space="preserve">the </w:t>
      </w:r>
      <w:r w:rsidRPr="00B24CB3">
        <w:rPr>
          <w:rFonts w:ascii="Arial" w:hAnsi="Arial" w:cs="Arial"/>
          <w:sz w:val="24"/>
        </w:rPr>
        <w:t xml:space="preserve">MTT method. Values are presented as the mean ± SD from three independent experiments. </w:t>
      </w:r>
      <w:r w:rsidRPr="00B24CB3">
        <w:rPr>
          <w:rFonts w:ascii="Arial" w:hAnsi="Arial" w:cs="Arial"/>
          <w:sz w:val="24"/>
          <w:vertAlign w:val="superscript"/>
        </w:rPr>
        <w:t>#</w:t>
      </w:r>
      <w:r w:rsidRPr="00B24CB3">
        <w:rPr>
          <w:rFonts w:ascii="Arial" w:hAnsi="Arial" w:cs="Arial"/>
          <w:sz w:val="24"/>
        </w:rPr>
        <w:t>p &lt;0.05 vs. Control,</w:t>
      </w:r>
      <w:r w:rsidRPr="00B24CB3">
        <w:rPr>
          <w:rFonts w:ascii="Arial" w:hAnsi="Arial" w:cs="Arial"/>
          <w:sz w:val="24"/>
          <w:vertAlign w:val="superscript"/>
        </w:rPr>
        <w:t xml:space="preserve"> ##</w:t>
      </w:r>
      <w:r w:rsidRPr="00B24CB3">
        <w:rPr>
          <w:rFonts w:ascii="Arial" w:hAnsi="Arial" w:cs="Arial"/>
          <w:sz w:val="24"/>
        </w:rPr>
        <w:t xml:space="preserve">p &lt;0.01 vs. Control, </w:t>
      </w:r>
      <w:r w:rsidRPr="00FF074E">
        <w:rPr>
          <w:rFonts w:ascii="Arial" w:hAnsi="Arial" w:cs="Arial"/>
          <w:sz w:val="24"/>
        </w:rPr>
        <w:t>*</w:t>
      </w:r>
      <w:r w:rsidRPr="00B24CB3">
        <w:rPr>
          <w:rFonts w:ascii="Arial" w:hAnsi="Arial" w:cs="Arial"/>
          <w:sz w:val="24"/>
        </w:rPr>
        <w:t>p &lt;0.05 vs. MGO,</w:t>
      </w:r>
      <w:r w:rsidRPr="00FF074E">
        <w:rPr>
          <w:rFonts w:ascii="Arial" w:hAnsi="Arial" w:cs="Arial"/>
          <w:sz w:val="24"/>
        </w:rPr>
        <w:t xml:space="preserve"> **</w:t>
      </w:r>
      <w:r w:rsidRPr="00B24CB3">
        <w:rPr>
          <w:rFonts w:ascii="Arial" w:hAnsi="Arial" w:cs="Arial"/>
          <w:sz w:val="24"/>
          <w:vertAlign w:val="superscript"/>
        </w:rPr>
        <w:t xml:space="preserve"> </w:t>
      </w:r>
      <w:r w:rsidRPr="00B24CB3">
        <w:rPr>
          <w:rFonts w:ascii="Arial" w:hAnsi="Arial" w:cs="Arial"/>
          <w:sz w:val="24"/>
        </w:rPr>
        <w:t>p &lt;0.01 vs. MGO.</w:t>
      </w:r>
    </w:p>
    <w:p w:rsidR="000D61FC" w:rsidRPr="00B24CB3" w:rsidRDefault="000D61FC" w:rsidP="000D61FC">
      <w:pPr>
        <w:spacing w:line="480" w:lineRule="auto"/>
        <w:rPr>
          <w:rFonts w:ascii="Arial" w:hAnsi="Arial" w:cs="Arial"/>
          <w:sz w:val="24"/>
        </w:rPr>
      </w:pPr>
      <w:r w:rsidRPr="00B24CB3">
        <w:rPr>
          <w:rFonts w:ascii="Arial" w:hAnsi="Arial" w:cs="Arial"/>
          <w:b/>
          <w:bCs/>
          <w:sz w:val="24"/>
        </w:rPr>
        <w:t>Fig. S2 NAC and CsA act on MGO-induced ROS generation.</w:t>
      </w:r>
      <w:r w:rsidRPr="00B24CB3">
        <w:rPr>
          <w:rFonts w:ascii="Arial" w:hAnsi="Arial" w:cs="Arial"/>
          <w:sz w:val="24"/>
        </w:rPr>
        <w:t xml:space="preserve"> (A, B) HUVECs were pretreated with NAC (10 mM), CsA (1 μM) and the vehicle control for 2 h, followed by stimulation with MGO (200 μM) for 1 h. The level of ROS generated was then measured by using the redox-sensitive dye DCF-DA, and the fluorescence intensity was measured at 488/525 nm using a microplate reader, recording typical pictures. The values (mean ± SD from three independent experiments) are presented as % of control (first bar). Scale bar, 100 μm. </w:t>
      </w:r>
      <w:r w:rsidRPr="00B24CB3">
        <w:rPr>
          <w:rFonts w:ascii="Arial" w:hAnsi="Arial" w:cs="Arial"/>
          <w:sz w:val="24"/>
          <w:vertAlign w:val="superscript"/>
        </w:rPr>
        <w:t>##</w:t>
      </w:r>
      <w:r w:rsidRPr="00B24CB3">
        <w:rPr>
          <w:rFonts w:ascii="Arial" w:hAnsi="Arial" w:cs="Arial"/>
          <w:sz w:val="24"/>
        </w:rPr>
        <w:t>p &lt;0.01 vs. Control, *p &lt;0.05 vs. MGO, **p &lt;0.01 vs. MGO.</w:t>
      </w:r>
    </w:p>
    <w:p w:rsidR="000D61FC" w:rsidRPr="00B24CB3" w:rsidRDefault="000D61FC" w:rsidP="000D61FC">
      <w:pPr>
        <w:spacing w:line="480" w:lineRule="auto"/>
        <w:rPr>
          <w:rFonts w:ascii="Arial" w:hAnsi="Arial" w:cs="Arial"/>
          <w:sz w:val="24"/>
        </w:rPr>
      </w:pPr>
      <w:r w:rsidRPr="00B24CB3">
        <w:rPr>
          <w:rFonts w:ascii="Arial" w:hAnsi="Arial" w:cs="Arial"/>
          <w:b/>
          <w:bCs/>
          <w:sz w:val="24"/>
        </w:rPr>
        <w:t xml:space="preserve">Fig. S3 </w:t>
      </w:r>
      <w:bookmarkStart w:id="1" w:name="OLE_LINK15"/>
      <w:bookmarkStart w:id="2" w:name="OLE_LINK49"/>
      <w:r w:rsidRPr="00B24CB3">
        <w:rPr>
          <w:rFonts w:ascii="Arial" w:hAnsi="Arial" w:cs="Arial"/>
          <w:b/>
          <w:bCs/>
          <w:sz w:val="24"/>
        </w:rPr>
        <w:t>ML385 regulates the Intervention effects of MET.</w:t>
      </w:r>
      <w:bookmarkEnd w:id="1"/>
      <w:bookmarkEnd w:id="2"/>
      <w:r w:rsidRPr="00B24CB3">
        <w:rPr>
          <w:rFonts w:ascii="Arial" w:hAnsi="Arial" w:cs="Arial"/>
          <w:sz w:val="24"/>
        </w:rPr>
        <w:t xml:space="preserve"> HUVECs were pretreated with a Nrf2 inhibitor (ML385, 20 mM), MET (10 mM), and the vehicle control for </w:t>
      </w:r>
      <w:r w:rsidRPr="00B24CB3">
        <w:rPr>
          <w:rFonts w:ascii="Arial" w:eastAsia="宋体" w:hAnsi="Arial" w:cs="Arial"/>
          <w:sz w:val="24"/>
        </w:rPr>
        <w:t>2 h</w:t>
      </w:r>
      <w:r w:rsidRPr="00B24CB3">
        <w:rPr>
          <w:rFonts w:ascii="Arial" w:hAnsi="Arial" w:cs="Arial"/>
          <w:sz w:val="24"/>
        </w:rPr>
        <w:t>, followed by stimulation with MGO for 24 h. (A) Cell viability was determined by the MTT method. (B and C) Representative Western blots of total cell lysates after immunoblotting and probing with antibodies against Nrf2 and HO-1, which were quantified by densitometry and calculated as ratios to β-</w:t>
      </w:r>
      <w:r w:rsidRPr="00B24CB3">
        <w:rPr>
          <w:rFonts w:ascii="Arial" w:hAnsi="Arial" w:cs="Arial"/>
          <w:sz w:val="24"/>
        </w:rPr>
        <w:lastRenderedPageBreak/>
        <w:t>Actin. (D and E) Cell apoptosis was examined by the TUNEL assay. Scale bars, 100 μm. Representative images of cell apoptosis are shown. The values (mean ± SD from three independent experiments) are relative to</w:t>
      </w:r>
      <w:r w:rsidRPr="00B24CB3">
        <w:rPr>
          <w:rFonts w:ascii="Arial" w:eastAsia="宋体" w:hAnsi="Arial" w:cs="Arial"/>
          <w:sz w:val="24"/>
        </w:rPr>
        <w:t xml:space="preserve"> the</w:t>
      </w:r>
      <w:r w:rsidRPr="00B24CB3">
        <w:rPr>
          <w:rFonts w:ascii="Arial" w:hAnsi="Arial" w:cs="Arial"/>
          <w:sz w:val="24"/>
        </w:rPr>
        <w:t xml:space="preserve"> control and are expressed as fold changes. </w:t>
      </w:r>
      <w:r w:rsidRPr="00B24CB3">
        <w:rPr>
          <w:rFonts w:ascii="Arial" w:hAnsi="Arial" w:cs="Arial"/>
          <w:sz w:val="24"/>
          <w:vertAlign w:val="superscript"/>
        </w:rPr>
        <w:t>##</w:t>
      </w:r>
      <w:r w:rsidRPr="00B24CB3">
        <w:rPr>
          <w:rFonts w:ascii="Arial" w:hAnsi="Arial" w:cs="Arial"/>
          <w:sz w:val="24"/>
        </w:rPr>
        <w:t xml:space="preserve">p &lt;0.01 vs. Control, **p &lt;0.01 vs. MGO, </w:t>
      </w:r>
      <w:r w:rsidRPr="00B24CB3">
        <w:rPr>
          <w:rFonts w:ascii="Arial" w:hAnsi="Arial" w:cs="Arial"/>
          <w:sz w:val="24"/>
          <w:vertAlign w:val="superscript"/>
        </w:rPr>
        <w:t>&amp;&amp;</w:t>
      </w:r>
      <w:r w:rsidRPr="00B24CB3">
        <w:rPr>
          <w:rFonts w:ascii="Arial" w:hAnsi="Arial" w:cs="Arial"/>
          <w:sz w:val="24"/>
        </w:rPr>
        <w:t>p &lt;0.01 vs. MGO + MET.</w:t>
      </w:r>
    </w:p>
    <w:p w:rsidR="000D61FC" w:rsidRPr="000D61FC" w:rsidRDefault="000D61FC"/>
    <w:p w:rsidR="000D61FC" w:rsidRDefault="000D61FC"/>
    <w:p w:rsidR="000D61FC" w:rsidRDefault="000D61FC"/>
    <w:sectPr w:rsidR="000D61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C0D" w:rsidRDefault="00594C0D" w:rsidP="000D61FC">
      <w:r>
        <w:separator/>
      </w:r>
    </w:p>
  </w:endnote>
  <w:endnote w:type="continuationSeparator" w:id="0">
    <w:p w:rsidR="00594C0D" w:rsidRDefault="00594C0D" w:rsidP="000D6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C0D" w:rsidRDefault="00594C0D" w:rsidP="000D61FC">
      <w:r>
        <w:separator/>
      </w:r>
    </w:p>
  </w:footnote>
  <w:footnote w:type="continuationSeparator" w:id="0">
    <w:p w:rsidR="00594C0D" w:rsidRDefault="00594C0D" w:rsidP="000D61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B39"/>
    <w:rsid w:val="000D61FC"/>
    <w:rsid w:val="001C0B39"/>
    <w:rsid w:val="00594C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220557"/>
  <w15:chartTrackingRefBased/>
  <w15:docId w15:val="{2E373B58-1815-47CC-8457-77146DE28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61F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D61FC"/>
    <w:rPr>
      <w:sz w:val="18"/>
      <w:szCs w:val="18"/>
    </w:rPr>
  </w:style>
  <w:style w:type="paragraph" w:styleId="a5">
    <w:name w:val="footer"/>
    <w:basedOn w:val="a"/>
    <w:link w:val="a6"/>
    <w:uiPriority w:val="99"/>
    <w:unhideWhenUsed/>
    <w:rsid w:val="000D61FC"/>
    <w:pPr>
      <w:tabs>
        <w:tab w:val="center" w:pos="4153"/>
        <w:tab w:val="right" w:pos="8306"/>
      </w:tabs>
      <w:snapToGrid w:val="0"/>
      <w:jc w:val="left"/>
    </w:pPr>
    <w:rPr>
      <w:sz w:val="18"/>
      <w:szCs w:val="18"/>
    </w:rPr>
  </w:style>
  <w:style w:type="character" w:customStyle="1" w:styleId="a6">
    <w:name w:val="页脚 字符"/>
    <w:basedOn w:val="a0"/>
    <w:link w:val="a5"/>
    <w:uiPriority w:val="99"/>
    <w:rsid w:val="000D61F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288</Words>
  <Characters>1646</Characters>
  <Application>Microsoft Office Word</Application>
  <DocSecurity>0</DocSecurity>
  <Lines>13</Lines>
  <Paragraphs>3</Paragraphs>
  <ScaleCrop>false</ScaleCrop>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213</dc:creator>
  <cp:keywords/>
  <dc:description/>
  <cp:lastModifiedBy>213</cp:lastModifiedBy>
  <cp:revision>2</cp:revision>
  <dcterms:created xsi:type="dcterms:W3CDTF">2021-12-08T03:03:00Z</dcterms:created>
  <dcterms:modified xsi:type="dcterms:W3CDTF">2021-12-08T03:13:00Z</dcterms:modified>
</cp:coreProperties>
</file>