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6BF4" w14:textId="301525DF" w:rsidR="0016266A" w:rsidRDefault="00D07A91" w:rsidP="00D07A91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D07A91">
        <w:rPr>
          <w:rFonts w:ascii="Times New Roman" w:hAnsi="Times New Roman" w:cs="Times New Roman"/>
          <w:b/>
          <w:bCs/>
          <w:sz w:val="24"/>
          <w:szCs w:val="28"/>
        </w:rPr>
        <w:t xml:space="preserve">Supplementary Figure S1 The effects of NLRP3 inhibitor MCC950 and </w:t>
      </w:r>
      <w:r w:rsidRPr="00D07A91">
        <w:rPr>
          <w:rFonts w:ascii="Times New Roman" w:hAnsi="Times New Roman"/>
          <w:b/>
          <w:bCs/>
          <w:sz w:val="24"/>
          <w:szCs w:val="24"/>
        </w:rPr>
        <w:t>hyperosmotic pressure on DCM.</w:t>
      </w:r>
    </w:p>
    <w:p w14:paraId="2536A3A9" w14:textId="678C5648" w:rsidR="00D07A91" w:rsidRDefault="00B576E2" w:rsidP="00D07A91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A.</w:t>
      </w:r>
      <w:r w:rsidRPr="00B576E2">
        <w:rPr>
          <w:rFonts w:ascii="Times New Roman" w:hAnsi="Times New Roman"/>
          <w:sz w:val="24"/>
          <w:szCs w:val="24"/>
        </w:rPr>
        <w:t xml:space="preserve"> Expression of pyroptosis-related proteins was detected in H9c2 and NRVMs cells upon treatment with 25 mmol/L glucose</w:t>
      </w:r>
      <w:r w:rsidR="00FE614C">
        <w:rPr>
          <w:rFonts w:ascii="Times New Roman" w:hAnsi="Times New Roman"/>
          <w:sz w:val="24"/>
          <w:szCs w:val="24"/>
        </w:rPr>
        <w:t xml:space="preserve"> for 24 h</w:t>
      </w:r>
      <w:r w:rsidRPr="00B576E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B</w:t>
      </w:r>
      <w:r w:rsidR="00D07A91">
        <w:rPr>
          <w:rFonts w:ascii="Times New Roman" w:hAnsi="Times New Roman"/>
          <w:b/>
          <w:bCs/>
          <w:sz w:val="24"/>
          <w:szCs w:val="24"/>
        </w:rPr>
        <w:t>.</w:t>
      </w:r>
      <w:r w:rsidR="00D07A91" w:rsidRPr="00D07A91">
        <w:rPr>
          <w:rFonts w:ascii="Times New Roman" w:hAnsi="Times New Roman"/>
          <w:sz w:val="24"/>
          <w:szCs w:val="24"/>
        </w:rPr>
        <w:t xml:space="preserve"> Quantification of </w:t>
      </w:r>
      <w:r w:rsidR="00D07A91">
        <w:rPr>
          <w:rFonts w:ascii="Times New Roman" w:hAnsi="Times New Roman"/>
          <w:sz w:val="24"/>
          <w:szCs w:val="24"/>
        </w:rPr>
        <w:t xml:space="preserve">damaged cells upon HG treatment, </w:t>
      </w:r>
      <w:r w:rsidR="00D07A91" w:rsidRPr="00D07A91">
        <w:rPr>
          <w:rFonts w:ascii="Times New Roman" w:hAnsi="Times New Roman"/>
          <w:sz w:val="24"/>
          <w:szCs w:val="24"/>
          <w:vertAlign w:val="superscript"/>
        </w:rPr>
        <w:t>***</w:t>
      </w:r>
      <w:r w:rsidR="00D07A91">
        <w:rPr>
          <w:rFonts w:ascii="Times New Roman" w:hAnsi="Times New Roman"/>
          <w:sz w:val="24"/>
          <w:szCs w:val="24"/>
        </w:rPr>
        <w:t xml:space="preserve">P&lt;0.001. </w:t>
      </w:r>
      <w:r w:rsidRPr="00B576E2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.</w:t>
      </w:r>
      <w:r w:rsidRPr="00B576E2">
        <w:rPr>
          <w:rFonts w:ascii="Times New Roman" w:hAnsi="Times New Roman"/>
          <w:sz w:val="24"/>
          <w:szCs w:val="32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Quantification of expression of indicated proteins normalized to GAPDH,</w:t>
      </w:r>
      <w:r w:rsidRPr="00B576E2">
        <w:rPr>
          <w:rFonts w:ascii="Times New Roman" w:hAnsi="Times New Roman"/>
          <w:sz w:val="24"/>
          <w:szCs w:val="32"/>
          <w:vertAlign w:val="superscript"/>
        </w:rPr>
        <w:t xml:space="preserve"> </w:t>
      </w:r>
      <w:r w:rsidRPr="00B814B7">
        <w:rPr>
          <w:rFonts w:ascii="Times New Roman" w:hAnsi="Times New Roman"/>
          <w:sz w:val="24"/>
          <w:szCs w:val="32"/>
          <w:vertAlign w:val="superscript"/>
        </w:rPr>
        <w:t>*</w:t>
      </w:r>
      <w:r w:rsidRPr="00B814B7">
        <w:rPr>
          <w:rFonts w:ascii="Times New Roman" w:hAnsi="Times New Roman"/>
          <w:sz w:val="24"/>
          <w:szCs w:val="32"/>
        </w:rPr>
        <w:t xml:space="preserve">P&lt;0.05, </w:t>
      </w:r>
      <w:r w:rsidRPr="00B814B7">
        <w:rPr>
          <w:rFonts w:ascii="Times New Roman" w:hAnsi="Times New Roman"/>
          <w:sz w:val="24"/>
          <w:szCs w:val="32"/>
          <w:vertAlign w:val="superscript"/>
        </w:rPr>
        <w:t>**</w:t>
      </w:r>
      <w:r w:rsidRPr="00B814B7">
        <w:rPr>
          <w:rFonts w:ascii="Times New Roman" w:hAnsi="Times New Roman"/>
          <w:sz w:val="24"/>
          <w:szCs w:val="32"/>
        </w:rPr>
        <w:t>P&lt;0.01</w:t>
      </w:r>
      <w:r>
        <w:rPr>
          <w:rFonts w:ascii="Times New Roman" w:hAnsi="Times New Roman"/>
          <w:sz w:val="24"/>
          <w:szCs w:val="32"/>
        </w:rPr>
        <w:t xml:space="preserve">, </w:t>
      </w:r>
      <w:r w:rsidRPr="00B814B7">
        <w:rPr>
          <w:rFonts w:ascii="Times New Roman" w:hAnsi="Times New Roman"/>
          <w:sz w:val="24"/>
          <w:szCs w:val="32"/>
          <w:vertAlign w:val="superscript"/>
        </w:rPr>
        <w:t>***</w:t>
      </w:r>
      <w:r w:rsidRPr="00B814B7">
        <w:rPr>
          <w:rFonts w:ascii="Times New Roman" w:hAnsi="Times New Roman"/>
          <w:sz w:val="24"/>
          <w:szCs w:val="32"/>
        </w:rPr>
        <w:t>P&lt;0.</w:t>
      </w:r>
      <w:r>
        <w:rPr>
          <w:rFonts w:ascii="Times New Roman" w:hAnsi="Times New Roman"/>
          <w:sz w:val="24"/>
          <w:szCs w:val="32"/>
        </w:rPr>
        <w:t>0</w:t>
      </w:r>
      <w:r w:rsidRPr="00B814B7">
        <w:rPr>
          <w:rFonts w:ascii="Times New Roman" w:hAnsi="Times New Roman"/>
          <w:sz w:val="24"/>
          <w:szCs w:val="32"/>
        </w:rPr>
        <w:t>01</w:t>
      </w:r>
      <w:r>
        <w:rPr>
          <w:rFonts w:ascii="Times New Roman" w:hAnsi="Times New Roman"/>
          <w:sz w:val="24"/>
          <w:szCs w:val="32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 w:rsidR="00D07A91">
        <w:rPr>
          <w:rFonts w:ascii="Times New Roman" w:hAnsi="Times New Roman"/>
          <w:sz w:val="24"/>
          <w:szCs w:val="24"/>
        </w:rPr>
        <w:t>. The proportion of apoptotic cells in respective groups</w:t>
      </w:r>
      <w:r w:rsidR="00DC31D8">
        <w:rPr>
          <w:rFonts w:ascii="Times New Roman" w:hAnsi="Times New Roman"/>
          <w:sz w:val="24"/>
          <w:szCs w:val="24"/>
        </w:rPr>
        <w:t xml:space="preserve">, MCC950 was </w:t>
      </w:r>
      <w:r w:rsidR="00DC31D8" w:rsidRPr="003C7122">
        <w:rPr>
          <w:rFonts w:ascii="Times New Roman" w:hAnsi="Times New Roman"/>
          <w:sz w:val="24"/>
          <w:szCs w:val="32"/>
        </w:rPr>
        <w:t>used at the concentration of</w:t>
      </w:r>
      <w:r w:rsidR="00DC31D8" w:rsidRPr="00B654CC">
        <w:rPr>
          <w:rFonts w:ascii="Times New Roman" w:hAnsi="Times New Roman"/>
          <w:sz w:val="24"/>
          <w:szCs w:val="32"/>
        </w:rPr>
        <w:t xml:space="preserve"> 7.0 </w:t>
      </w:r>
      <w:proofErr w:type="spellStart"/>
      <w:r w:rsidR="00DC31D8" w:rsidRPr="00B654CC">
        <w:rPr>
          <w:rFonts w:ascii="Times New Roman" w:hAnsi="Times New Roman"/>
          <w:sz w:val="24"/>
          <w:szCs w:val="32"/>
        </w:rPr>
        <w:t>nM</w:t>
      </w:r>
      <w:r w:rsidR="00D07A91">
        <w:rPr>
          <w:rFonts w:ascii="Times New Roman" w:hAnsi="Times New Roman"/>
          <w:sz w:val="24"/>
          <w:szCs w:val="24"/>
        </w:rPr>
        <w:t>.</w:t>
      </w:r>
      <w:proofErr w:type="spellEnd"/>
      <w:r w:rsidR="00D07A91">
        <w:rPr>
          <w:rFonts w:ascii="Times New Roman" w:hAnsi="Times New Roman"/>
          <w:sz w:val="24"/>
          <w:szCs w:val="24"/>
        </w:rPr>
        <w:t xml:space="preserve"> </w:t>
      </w:r>
      <w:r w:rsidR="00EE4D8E">
        <w:rPr>
          <w:rFonts w:ascii="Times New Roman" w:hAnsi="Times New Roman"/>
          <w:b/>
          <w:bCs/>
          <w:sz w:val="24"/>
          <w:szCs w:val="24"/>
        </w:rPr>
        <w:t>E</w:t>
      </w:r>
      <w:r w:rsidR="00D07A91" w:rsidRPr="00D07A91">
        <w:rPr>
          <w:rFonts w:ascii="Times New Roman" w:hAnsi="Times New Roman"/>
          <w:sz w:val="24"/>
          <w:szCs w:val="24"/>
        </w:rPr>
        <w:t>.</w:t>
      </w:r>
      <w:r w:rsidR="00DC31D8">
        <w:rPr>
          <w:rFonts w:ascii="Times New Roman" w:hAnsi="Times New Roman"/>
          <w:sz w:val="24"/>
          <w:szCs w:val="24"/>
        </w:rPr>
        <w:t xml:space="preserve"> IHC analysis was performed to detect the expression of NLRP3 in rats treated with </w:t>
      </w:r>
      <w:r w:rsidR="009B03B3">
        <w:rPr>
          <w:rFonts w:ascii="Times New Roman" w:hAnsi="Times New Roman"/>
          <w:sz w:val="24"/>
          <w:szCs w:val="24"/>
        </w:rPr>
        <w:t xml:space="preserve">MCC950 </w:t>
      </w:r>
      <w:r w:rsidR="00DC31D8">
        <w:rPr>
          <w:rFonts w:ascii="Times New Roman" w:hAnsi="Times New Roman"/>
          <w:sz w:val="24"/>
          <w:szCs w:val="32"/>
        </w:rPr>
        <w:t>(</w:t>
      </w:r>
      <w:r w:rsidR="00DC31D8" w:rsidRPr="00B654CC">
        <w:rPr>
          <w:rFonts w:ascii="Times New Roman" w:hAnsi="Times New Roman"/>
          <w:sz w:val="24"/>
          <w:szCs w:val="32"/>
        </w:rPr>
        <w:t>12 mg/kg</w:t>
      </w:r>
      <w:r w:rsidR="00DC31D8">
        <w:rPr>
          <w:rFonts w:ascii="Times New Roman" w:hAnsi="Times New Roman"/>
          <w:sz w:val="24"/>
          <w:szCs w:val="32"/>
        </w:rPr>
        <w:t>). Results showed that MCC950 significantly suppressed NLRP3 expression levels.</w:t>
      </w:r>
      <w:r w:rsidR="00B16996">
        <w:rPr>
          <w:rFonts w:ascii="Times New Roman" w:hAnsi="Times New Roman"/>
          <w:sz w:val="24"/>
          <w:szCs w:val="32"/>
        </w:rPr>
        <w:t xml:space="preserve"> </w:t>
      </w:r>
      <w:r w:rsidR="00EE4D8E">
        <w:rPr>
          <w:rFonts w:ascii="Times New Roman" w:hAnsi="Times New Roman"/>
          <w:b/>
          <w:bCs/>
          <w:sz w:val="24"/>
          <w:szCs w:val="32"/>
        </w:rPr>
        <w:t>F</w:t>
      </w:r>
      <w:r w:rsidR="00B16996">
        <w:rPr>
          <w:rFonts w:ascii="Times New Roman" w:hAnsi="Times New Roman"/>
          <w:sz w:val="24"/>
          <w:szCs w:val="32"/>
        </w:rPr>
        <w:t>.</w:t>
      </w:r>
      <w:r w:rsidR="006309BF">
        <w:rPr>
          <w:rFonts w:ascii="Times New Roman" w:hAnsi="Times New Roman"/>
          <w:sz w:val="24"/>
          <w:szCs w:val="32"/>
        </w:rPr>
        <w:t xml:space="preserve"> </w:t>
      </w:r>
      <w:r w:rsidR="006309BF" w:rsidRPr="003C7122">
        <w:rPr>
          <w:rFonts w:ascii="Times New Roman" w:hAnsi="Times New Roman"/>
          <w:bCs/>
          <w:sz w:val="24"/>
          <w:szCs w:val="24"/>
        </w:rPr>
        <w:t>Cardiac function</w:t>
      </w:r>
      <w:r w:rsidR="006309BF">
        <w:rPr>
          <w:rFonts w:ascii="Times New Roman" w:hAnsi="Times New Roman"/>
          <w:bCs/>
          <w:sz w:val="24"/>
          <w:szCs w:val="24"/>
        </w:rPr>
        <w:t xml:space="preserve"> analysis</w:t>
      </w:r>
      <w:r w:rsidR="00031791">
        <w:rPr>
          <w:rFonts w:ascii="Times New Roman" w:hAnsi="Times New Roman"/>
          <w:bCs/>
          <w:sz w:val="24"/>
          <w:szCs w:val="24"/>
        </w:rPr>
        <w:t xml:space="preserve"> of rats treated with MCC950, and the results showed that MCC950 treatment showed no effect. </w:t>
      </w:r>
      <w:r w:rsidR="00EE4D8E">
        <w:rPr>
          <w:rFonts w:ascii="Times New Roman" w:hAnsi="Times New Roman"/>
          <w:b/>
          <w:sz w:val="24"/>
          <w:szCs w:val="24"/>
        </w:rPr>
        <w:t>G</w:t>
      </w:r>
      <w:r w:rsidR="00031791" w:rsidRPr="00F82FA1">
        <w:rPr>
          <w:rFonts w:ascii="Times New Roman" w:hAnsi="Times New Roman"/>
          <w:b/>
          <w:sz w:val="24"/>
          <w:szCs w:val="24"/>
        </w:rPr>
        <w:t>.</w:t>
      </w:r>
      <w:r w:rsidR="00031791">
        <w:rPr>
          <w:rFonts w:ascii="Times New Roman" w:hAnsi="Times New Roman"/>
          <w:bCs/>
          <w:sz w:val="24"/>
          <w:szCs w:val="24"/>
        </w:rPr>
        <w:t xml:space="preserve"> </w:t>
      </w:r>
      <w:r w:rsidR="00514199">
        <w:rPr>
          <w:rFonts w:ascii="Times New Roman" w:hAnsi="Times New Roman"/>
          <w:bCs/>
          <w:sz w:val="24"/>
          <w:szCs w:val="24"/>
        </w:rPr>
        <w:t>Blood i</w:t>
      </w:r>
      <w:r w:rsidR="00031791">
        <w:rPr>
          <w:rFonts w:ascii="Times New Roman" w:hAnsi="Times New Roman"/>
          <w:bCs/>
          <w:sz w:val="24"/>
          <w:szCs w:val="24"/>
        </w:rPr>
        <w:t xml:space="preserve">nflammatory factors, such as CK-MB, LDH and AST were not influenced </w:t>
      </w:r>
      <w:r w:rsidR="00514199">
        <w:rPr>
          <w:rFonts w:ascii="Times New Roman" w:hAnsi="Times New Roman"/>
          <w:bCs/>
          <w:sz w:val="24"/>
          <w:szCs w:val="24"/>
        </w:rPr>
        <w:t xml:space="preserve">by MCC950 treatment. </w:t>
      </w:r>
      <w:r w:rsidR="00EE4D8E">
        <w:rPr>
          <w:rFonts w:ascii="Times New Roman" w:hAnsi="Times New Roman"/>
          <w:b/>
          <w:sz w:val="24"/>
          <w:szCs w:val="24"/>
        </w:rPr>
        <w:t>H</w:t>
      </w:r>
      <w:r w:rsidR="00514199" w:rsidRPr="00F82FA1">
        <w:rPr>
          <w:rFonts w:ascii="Times New Roman" w:hAnsi="Times New Roman"/>
          <w:b/>
          <w:sz w:val="24"/>
          <w:szCs w:val="24"/>
        </w:rPr>
        <w:t>.</w:t>
      </w:r>
      <w:r w:rsidR="00514199">
        <w:rPr>
          <w:rFonts w:ascii="Times New Roman" w:hAnsi="Times New Roman"/>
          <w:bCs/>
          <w:sz w:val="24"/>
          <w:szCs w:val="24"/>
        </w:rPr>
        <w:t xml:space="preserve"> Western blot analysis showed that pyroptosis-related proteins were not dysregulated under different </w:t>
      </w:r>
      <w:r w:rsidR="00514199" w:rsidRPr="008057A8">
        <w:rPr>
          <w:rFonts w:ascii="Times New Roman" w:hAnsi="Times New Roman"/>
          <w:bCs/>
          <w:sz w:val="24"/>
          <w:szCs w:val="24"/>
        </w:rPr>
        <w:t>hyperosmotic</w:t>
      </w:r>
      <w:r w:rsidR="00514199">
        <w:rPr>
          <w:rFonts w:ascii="Times New Roman" w:hAnsi="Times New Roman"/>
          <w:bCs/>
          <w:sz w:val="24"/>
          <w:szCs w:val="24"/>
        </w:rPr>
        <w:t xml:space="preserve"> conditions.</w:t>
      </w:r>
    </w:p>
    <w:p w14:paraId="3F863214" w14:textId="1A3BF805" w:rsidR="00F82FA1" w:rsidRDefault="00F82FA1" w:rsidP="00D07A91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09A687A0" w14:textId="224352F4" w:rsidR="00F82FA1" w:rsidRDefault="00F82FA1" w:rsidP="00D07A91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F82FA1">
        <w:rPr>
          <w:rFonts w:ascii="Times New Roman" w:hAnsi="Times New Roman"/>
          <w:b/>
          <w:sz w:val="24"/>
          <w:szCs w:val="24"/>
        </w:rPr>
        <w:t>S</w:t>
      </w:r>
      <w:r w:rsidRPr="00F82FA1">
        <w:rPr>
          <w:rFonts w:ascii="Times New Roman" w:hAnsi="Times New Roman" w:hint="eastAsia"/>
          <w:b/>
          <w:sz w:val="24"/>
          <w:szCs w:val="24"/>
        </w:rPr>
        <w:t>upplementary</w:t>
      </w:r>
      <w:r w:rsidRPr="00F82FA1">
        <w:rPr>
          <w:rFonts w:ascii="Times New Roman" w:hAnsi="Times New Roman"/>
          <w:b/>
          <w:sz w:val="24"/>
          <w:szCs w:val="24"/>
        </w:rPr>
        <w:t xml:space="preserve"> Figure S2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445BA">
        <w:rPr>
          <w:rFonts w:ascii="Times New Roman" w:hAnsi="Times New Roman"/>
          <w:b/>
          <w:sz w:val="24"/>
          <w:szCs w:val="24"/>
        </w:rPr>
        <w:t>Expression of METTL3 and METTL14 in hyperosmotic and HG conditions.</w:t>
      </w:r>
    </w:p>
    <w:p w14:paraId="0BD22905" w14:textId="1BB02326" w:rsidR="00F82FA1" w:rsidRDefault="00F82FA1" w:rsidP="00D07A91">
      <w:pPr>
        <w:spacing w:line="360" w:lineRule="auto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9445BA">
        <w:rPr>
          <w:rFonts w:ascii="Times New Roman" w:hAnsi="Times New Roman" w:hint="eastAsia"/>
          <w:b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. Western blot analysis of METTL14 expression in H9c2 cells treated with </w:t>
      </w:r>
      <w:r w:rsidRPr="00F7603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D-sorbitol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at the concentration of 200, 400 and 800 mM</w:t>
      </w:r>
      <w:r w:rsidR="009445B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to mimic hyperosmotic conditions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="009445B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Results showed that METTL14 was not significantly dysregulated by hyperosmotic conditions. </w:t>
      </w:r>
      <w:r w:rsidR="009445BA" w:rsidRPr="009445BA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B</w:t>
      </w:r>
      <w:r w:rsidR="009445B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Western blot analysis of METTL3 level in cardiomyocytes and showed that</w:t>
      </w:r>
      <w:r w:rsidR="00163F7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METTL3 was not regulated by HG treatment. </w:t>
      </w:r>
      <w:r w:rsidR="00163F78" w:rsidRPr="00163F78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C</w:t>
      </w:r>
      <w:r w:rsidR="00163F7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IHC analysis of METTL3 protein in rats with DCM, and the data indicated that METTL3 level was not altered in DCM rats compared to controlled ones.</w:t>
      </w:r>
      <w:r w:rsidR="009445B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14:paraId="4F413964" w14:textId="14438597" w:rsidR="00163F78" w:rsidRDefault="00163F78" w:rsidP="00D07A9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CC840CA" w14:textId="18017FAA" w:rsidR="0078597A" w:rsidRPr="00351231" w:rsidRDefault="00163F78" w:rsidP="00D07A91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78597A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78597A">
        <w:rPr>
          <w:rFonts w:ascii="Times New Roman" w:hAnsi="Times New Roman" w:cs="Times New Roman"/>
          <w:b/>
          <w:bCs/>
          <w:sz w:val="24"/>
          <w:szCs w:val="28"/>
        </w:rPr>
        <w:t>upplementary Figure S3</w:t>
      </w:r>
      <w:r w:rsidR="003206AA">
        <w:rPr>
          <w:rFonts w:ascii="Times New Roman" w:hAnsi="Times New Roman" w:cs="Times New Roman"/>
          <w:b/>
          <w:bCs/>
          <w:sz w:val="24"/>
          <w:szCs w:val="28"/>
        </w:rPr>
        <w:t>A-C</w:t>
      </w:r>
      <w:r w:rsidRPr="003206AA">
        <w:rPr>
          <w:rFonts w:ascii="Times New Roman" w:hAnsi="Times New Roman" w:cs="Times New Roman"/>
          <w:sz w:val="24"/>
          <w:szCs w:val="28"/>
        </w:rPr>
        <w:t xml:space="preserve"> Silence of TINCR reversed sh-METTL14-induced pyroptosis in </w:t>
      </w:r>
      <w:r w:rsidR="0078597A" w:rsidRPr="003206AA">
        <w:rPr>
          <w:rFonts w:ascii="Times New Roman" w:hAnsi="Times New Roman" w:cs="Times New Roman"/>
          <w:sz w:val="24"/>
          <w:szCs w:val="28"/>
        </w:rPr>
        <w:t>normal</w:t>
      </w:r>
      <w:r w:rsidRPr="003206AA">
        <w:rPr>
          <w:rFonts w:ascii="Times New Roman" w:hAnsi="Times New Roman" w:cs="Times New Roman"/>
          <w:sz w:val="24"/>
          <w:szCs w:val="28"/>
        </w:rPr>
        <w:t xml:space="preserve"> rats</w:t>
      </w:r>
      <w:r w:rsidR="003206AA" w:rsidRPr="003206AA">
        <w:rPr>
          <w:rFonts w:ascii="Times New Roman" w:hAnsi="Times New Roman" w:cs="Times New Roman"/>
          <w:sz w:val="24"/>
          <w:szCs w:val="28"/>
        </w:rPr>
        <w:t xml:space="preserve">, including the pyroptosis-related protein levels (A), cardiac functions (B) and </w:t>
      </w:r>
      <w:r w:rsidR="003206AA" w:rsidRPr="003206AA">
        <w:rPr>
          <w:rFonts w:ascii="Times New Roman" w:hAnsi="Times New Roman"/>
          <w:sz w:val="24"/>
          <w:szCs w:val="24"/>
        </w:rPr>
        <w:t>ultrastructure damage.</w:t>
      </w:r>
      <w:r w:rsidR="003206AA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3A0DB2F" w14:textId="7D057CFA" w:rsidR="003206AA" w:rsidRDefault="003206AA" w:rsidP="00D07A9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D689BF6" w14:textId="4B1D843A" w:rsidR="00163F78" w:rsidRPr="00D07A91" w:rsidRDefault="003206AA" w:rsidP="00D07A9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4552B6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4552B6">
        <w:rPr>
          <w:rFonts w:ascii="Times New Roman" w:hAnsi="Times New Roman" w:cs="Times New Roman"/>
          <w:b/>
          <w:bCs/>
          <w:sz w:val="24"/>
          <w:szCs w:val="28"/>
        </w:rPr>
        <w:t>upplementary Figure S4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552B6">
        <w:rPr>
          <w:rFonts w:ascii="Times New Roman" w:hAnsi="Times New Roman" w:cs="Times New Roman"/>
          <w:sz w:val="24"/>
          <w:szCs w:val="28"/>
        </w:rPr>
        <w:t xml:space="preserve">MCC950 treatment reversed the TINCR-induced upregulation of </w:t>
      </w:r>
      <w:r w:rsidR="004552B6">
        <w:rPr>
          <w:rFonts w:ascii="Times New Roman" w:hAnsi="Times New Roman" w:cs="Times New Roman"/>
          <w:sz w:val="24"/>
          <w:szCs w:val="28"/>
        </w:rPr>
        <w:lastRenderedPageBreak/>
        <w:t>proteins involved in NLRP3 pathway in cardiomyocytes without HG treatment.</w:t>
      </w:r>
    </w:p>
    <w:sectPr w:rsidR="00163F78" w:rsidRPr="00D07A91" w:rsidSect="00D07A91">
      <w:pgSz w:w="11906" w:h="1683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18B7E" w14:textId="77777777" w:rsidR="00C75D08" w:rsidRDefault="00C75D08" w:rsidP="00D07A91">
      <w:r>
        <w:separator/>
      </w:r>
    </w:p>
  </w:endnote>
  <w:endnote w:type="continuationSeparator" w:id="0">
    <w:p w14:paraId="405FB218" w14:textId="77777777" w:rsidR="00C75D08" w:rsidRDefault="00C75D08" w:rsidP="00D0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FD28" w14:textId="77777777" w:rsidR="00C75D08" w:rsidRDefault="00C75D08" w:rsidP="00D07A91">
      <w:r>
        <w:separator/>
      </w:r>
    </w:p>
  </w:footnote>
  <w:footnote w:type="continuationSeparator" w:id="0">
    <w:p w14:paraId="15F7A053" w14:textId="77777777" w:rsidR="00C75D08" w:rsidRDefault="00C75D08" w:rsidP="00D07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49"/>
    <w:rsid w:val="00031791"/>
    <w:rsid w:val="0016266A"/>
    <w:rsid w:val="00163F78"/>
    <w:rsid w:val="003206AA"/>
    <w:rsid w:val="00351231"/>
    <w:rsid w:val="004552B6"/>
    <w:rsid w:val="00480F49"/>
    <w:rsid w:val="004D6555"/>
    <w:rsid w:val="00514199"/>
    <w:rsid w:val="006309BF"/>
    <w:rsid w:val="0078597A"/>
    <w:rsid w:val="00794CC1"/>
    <w:rsid w:val="009445BA"/>
    <w:rsid w:val="009B03B3"/>
    <w:rsid w:val="00B16996"/>
    <w:rsid w:val="00B576E2"/>
    <w:rsid w:val="00C75D08"/>
    <w:rsid w:val="00C774AA"/>
    <w:rsid w:val="00D07A91"/>
    <w:rsid w:val="00D4202F"/>
    <w:rsid w:val="00D62767"/>
    <w:rsid w:val="00DC31D8"/>
    <w:rsid w:val="00EB4527"/>
    <w:rsid w:val="00EE4D8E"/>
    <w:rsid w:val="00F82FA1"/>
    <w:rsid w:val="00FE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A327C"/>
  <w15:chartTrackingRefBased/>
  <w15:docId w15:val="{A07FBCD8-E596-4185-A972-0A14E48D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A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培龙</dc:creator>
  <cp:keywords/>
  <dc:description/>
  <cp:lastModifiedBy>李 培龙</cp:lastModifiedBy>
  <cp:revision>10</cp:revision>
  <dcterms:created xsi:type="dcterms:W3CDTF">2021-09-30T08:19:00Z</dcterms:created>
  <dcterms:modified xsi:type="dcterms:W3CDTF">2021-11-26T16:30:00Z</dcterms:modified>
</cp:coreProperties>
</file>