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7E17" w:rsidRDefault="007A7E17" w:rsidP="007A7E17">
      <w:pPr>
        <w:autoSpaceDE w:val="0"/>
        <w:autoSpaceDN w:val="0"/>
        <w:adjustRightInd w:val="0"/>
        <w:spacing w:beforeLines="50" w:before="156" w:line="480" w:lineRule="auto"/>
        <w:jc w:val="left"/>
        <w:rPr>
          <w:rFonts w:eastAsia="BemboStd"/>
          <w:b/>
          <w:kern w:val="0"/>
          <w:sz w:val="24"/>
        </w:rPr>
      </w:pPr>
      <w:r>
        <w:rPr>
          <w:b/>
          <w:sz w:val="24"/>
        </w:rPr>
        <w:t>Supplementary f</w:t>
      </w:r>
      <w:r w:rsidRPr="00031297">
        <w:rPr>
          <w:b/>
          <w:sz w:val="24"/>
        </w:rPr>
        <w:t>igure</w:t>
      </w:r>
      <w:r w:rsidR="005C5203">
        <w:rPr>
          <w:rFonts w:eastAsia="BemboStd"/>
          <w:b/>
          <w:kern w:val="0"/>
          <w:sz w:val="24"/>
        </w:rPr>
        <w:t xml:space="preserve"> legends</w:t>
      </w:r>
    </w:p>
    <w:p w:rsidR="007A7E17" w:rsidRDefault="007A7E17" w:rsidP="007A7E17">
      <w:pPr>
        <w:autoSpaceDE w:val="0"/>
        <w:autoSpaceDN w:val="0"/>
        <w:adjustRightInd w:val="0"/>
        <w:spacing w:beforeLines="50" w:before="156" w:line="480" w:lineRule="auto"/>
        <w:jc w:val="left"/>
        <w:rPr>
          <w:sz w:val="24"/>
        </w:rPr>
      </w:pPr>
      <w:r>
        <w:rPr>
          <w:b/>
          <w:sz w:val="24"/>
        </w:rPr>
        <w:t xml:space="preserve">Supplementary </w:t>
      </w:r>
      <w:r w:rsidRPr="00031297">
        <w:rPr>
          <w:b/>
          <w:sz w:val="24"/>
        </w:rPr>
        <w:t xml:space="preserve">Fig. </w:t>
      </w:r>
      <w:r>
        <w:rPr>
          <w:b/>
          <w:sz w:val="24"/>
        </w:rPr>
        <w:t>1</w:t>
      </w:r>
      <w:r w:rsidRPr="00031297">
        <w:rPr>
          <w:b/>
          <w:sz w:val="24"/>
        </w:rPr>
        <w:t xml:space="preserve"> </w:t>
      </w:r>
      <w:r w:rsidR="00D306D5" w:rsidRPr="00D306D5">
        <w:rPr>
          <w:b/>
          <w:sz w:val="24"/>
        </w:rPr>
        <w:t xml:space="preserve">The coding potential </w:t>
      </w:r>
      <w:r w:rsidR="00D306D5">
        <w:rPr>
          <w:b/>
          <w:sz w:val="24"/>
        </w:rPr>
        <w:t xml:space="preserve">and subcellular distribution of </w:t>
      </w:r>
      <w:r>
        <w:rPr>
          <w:b/>
          <w:sz w:val="24"/>
        </w:rPr>
        <w:t>PAARH</w:t>
      </w:r>
      <w:r w:rsidR="00D306D5">
        <w:rPr>
          <w:b/>
          <w:sz w:val="24"/>
        </w:rPr>
        <w:t xml:space="preserve"> in HCC cells</w:t>
      </w:r>
      <w:r>
        <w:rPr>
          <w:b/>
          <w:sz w:val="24"/>
        </w:rPr>
        <w:t xml:space="preserve">. </w:t>
      </w:r>
      <w:r w:rsidRPr="00647D90">
        <w:rPr>
          <w:b/>
          <w:color w:val="000000"/>
          <w:sz w:val="24"/>
        </w:rPr>
        <w:t>a</w:t>
      </w:r>
      <w:r w:rsidRPr="00031297">
        <w:rPr>
          <w:sz w:val="24"/>
        </w:rPr>
        <w:t xml:space="preserve"> </w:t>
      </w:r>
      <w:r w:rsidR="00D306D5" w:rsidRPr="00D306D5">
        <w:rPr>
          <w:sz w:val="24"/>
        </w:rPr>
        <w:t>The coding potential</w:t>
      </w:r>
      <w:r w:rsidR="00000017">
        <w:rPr>
          <w:sz w:val="24"/>
        </w:rPr>
        <w:t xml:space="preserve"> of PAARH was calculated using </w:t>
      </w:r>
      <w:r w:rsidR="00000017" w:rsidRPr="00000017">
        <w:rPr>
          <w:sz w:val="24"/>
        </w:rPr>
        <w:t>Coding</w:t>
      </w:r>
      <w:r w:rsidR="00000017">
        <w:rPr>
          <w:sz w:val="24"/>
        </w:rPr>
        <w:t xml:space="preserve"> </w:t>
      </w:r>
      <w:r w:rsidR="00000017" w:rsidRPr="00000017">
        <w:rPr>
          <w:sz w:val="24"/>
        </w:rPr>
        <w:t>Potential Assessment Tool (CPAT)</w:t>
      </w:r>
      <w:r w:rsidR="00000017">
        <w:rPr>
          <w:sz w:val="24"/>
        </w:rPr>
        <w:t xml:space="preserve">. </w:t>
      </w:r>
      <w:r w:rsidR="00000017" w:rsidRPr="00000017">
        <w:rPr>
          <w:b/>
          <w:sz w:val="24"/>
        </w:rPr>
        <w:t>b</w:t>
      </w:r>
      <w:r w:rsidR="00000017">
        <w:rPr>
          <w:sz w:val="24"/>
        </w:rPr>
        <w:t xml:space="preserve"> </w:t>
      </w:r>
      <w:r w:rsidR="00000017" w:rsidRPr="00D306D5">
        <w:rPr>
          <w:sz w:val="24"/>
        </w:rPr>
        <w:t>The coding potential</w:t>
      </w:r>
      <w:r w:rsidR="00000017">
        <w:rPr>
          <w:sz w:val="24"/>
        </w:rPr>
        <w:t xml:space="preserve"> of PAARH was calculated using </w:t>
      </w:r>
      <w:r w:rsidR="00000017" w:rsidRPr="00000017">
        <w:rPr>
          <w:sz w:val="24"/>
        </w:rPr>
        <w:t xml:space="preserve">Coding Potential </w:t>
      </w:r>
      <w:bookmarkStart w:id="0" w:name="_GoBack"/>
      <w:bookmarkEnd w:id="0"/>
      <w:r w:rsidR="00000017" w:rsidRPr="00000017">
        <w:rPr>
          <w:sz w:val="24"/>
        </w:rPr>
        <w:t>Calculator</w:t>
      </w:r>
      <w:r w:rsidR="00000017">
        <w:rPr>
          <w:sz w:val="24"/>
        </w:rPr>
        <w:t xml:space="preserve"> </w:t>
      </w:r>
      <w:r w:rsidR="00000017" w:rsidRPr="00000017">
        <w:rPr>
          <w:sz w:val="24"/>
        </w:rPr>
        <w:t>(CPC)</w:t>
      </w:r>
      <w:r w:rsidR="00000017">
        <w:rPr>
          <w:sz w:val="24"/>
        </w:rPr>
        <w:t xml:space="preserve"> 2.0. </w:t>
      </w:r>
      <w:r w:rsidR="00000017" w:rsidRPr="00000017">
        <w:rPr>
          <w:b/>
          <w:sz w:val="24"/>
        </w:rPr>
        <w:t>c</w:t>
      </w:r>
      <w:r w:rsidR="00000017">
        <w:rPr>
          <w:sz w:val="24"/>
        </w:rPr>
        <w:t xml:space="preserve"> </w:t>
      </w:r>
      <w:r w:rsidR="00000017" w:rsidRPr="00D306D5">
        <w:rPr>
          <w:sz w:val="24"/>
        </w:rPr>
        <w:t>The coding potential</w:t>
      </w:r>
      <w:r w:rsidR="00000017">
        <w:rPr>
          <w:sz w:val="24"/>
        </w:rPr>
        <w:t xml:space="preserve"> of PAARH was calculated using TestCode. </w:t>
      </w:r>
      <w:r w:rsidR="00000017" w:rsidRPr="00000017">
        <w:rPr>
          <w:b/>
          <w:sz w:val="24"/>
        </w:rPr>
        <w:t>d</w:t>
      </w:r>
      <w:r w:rsidR="00000017">
        <w:rPr>
          <w:sz w:val="24"/>
        </w:rPr>
        <w:t xml:space="preserve"> </w:t>
      </w:r>
      <w:r w:rsidR="00000017" w:rsidRPr="00000017">
        <w:rPr>
          <w:sz w:val="24"/>
        </w:rPr>
        <w:t xml:space="preserve">Biochemical fractionation of </w:t>
      </w:r>
      <w:r w:rsidR="00000017">
        <w:rPr>
          <w:sz w:val="24"/>
        </w:rPr>
        <w:t>SNU-398</w:t>
      </w:r>
      <w:r w:rsidR="00000017" w:rsidRPr="00000017">
        <w:rPr>
          <w:sz w:val="24"/>
        </w:rPr>
        <w:t xml:space="preserve"> cells, followed by qRT-PCR to</w:t>
      </w:r>
      <w:r w:rsidR="00000017">
        <w:rPr>
          <w:sz w:val="24"/>
        </w:rPr>
        <w:t xml:space="preserve"> </w:t>
      </w:r>
      <w:r w:rsidR="00000017" w:rsidRPr="00000017">
        <w:rPr>
          <w:sz w:val="24"/>
        </w:rPr>
        <w:t xml:space="preserve">detect the subcellular </w:t>
      </w:r>
      <w:r w:rsidR="00000017">
        <w:rPr>
          <w:sz w:val="24"/>
        </w:rPr>
        <w:t>distribution</w:t>
      </w:r>
      <w:r w:rsidR="00000017" w:rsidRPr="00000017">
        <w:rPr>
          <w:sz w:val="24"/>
        </w:rPr>
        <w:t xml:space="preserve"> of </w:t>
      </w:r>
      <w:r w:rsidR="00000017">
        <w:rPr>
          <w:sz w:val="24"/>
        </w:rPr>
        <w:t>PAARH</w:t>
      </w:r>
      <w:r w:rsidR="00000017" w:rsidRPr="00000017">
        <w:rPr>
          <w:sz w:val="24"/>
        </w:rPr>
        <w:t>. GAPDH and MALAT1 were used as cytoplasmic and nuclear controls, respectively.</w:t>
      </w:r>
    </w:p>
    <w:p w:rsidR="00A40F15" w:rsidRDefault="007A7E17" w:rsidP="007A7E17">
      <w:pPr>
        <w:autoSpaceDE w:val="0"/>
        <w:autoSpaceDN w:val="0"/>
        <w:adjustRightInd w:val="0"/>
        <w:spacing w:beforeLines="50" w:before="156" w:line="480" w:lineRule="auto"/>
        <w:jc w:val="left"/>
        <w:rPr>
          <w:color w:val="000000"/>
          <w:sz w:val="24"/>
        </w:rPr>
      </w:pPr>
      <w:r>
        <w:rPr>
          <w:b/>
          <w:sz w:val="24"/>
        </w:rPr>
        <w:t xml:space="preserve">Supplementary </w:t>
      </w:r>
      <w:r w:rsidRPr="00031297">
        <w:rPr>
          <w:b/>
          <w:sz w:val="24"/>
        </w:rPr>
        <w:t xml:space="preserve">Fig. </w:t>
      </w:r>
      <w:r>
        <w:rPr>
          <w:b/>
          <w:sz w:val="24"/>
        </w:rPr>
        <w:t>2</w:t>
      </w:r>
      <w:r w:rsidRPr="00031297">
        <w:rPr>
          <w:b/>
          <w:sz w:val="24"/>
        </w:rPr>
        <w:t xml:space="preserve"> </w:t>
      </w:r>
      <w:r>
        <w:rPr>
          <w:b/>
          <w:sz w:val="24"/>
        </w:rPr>
        <w:t>PAARH</w:t>
      </w:r>
      <w:r w:rsidRPr="00D22691">
        <w:rPr>
          <w:b/>
          <w:sz w:val="24"/>
        </w:rPr>
        <w:t xml:space="preserve"> </w:t>
      </w:r>
      <w:r>
        <w:rPr>
          <w:b/>
          <w:sz w:val="24"/>
        </w:rPr>
        <w:t xml:space="preserve">did not regulate VEGF under normoxia. </w:t>
      </w:r>
      <w:r w:rsidRPr="00647D90">
        <w:rPr>
          <w:b/>
          <w:color w:val="000000"/>
          <w:sz w:val="24"/>
        </w:rPr>
        <w:t>a</w:t>
      </w:r>
      <w:r w:rsidRPr="00031297">
        <w:rPr>
          <w:sz w:val="24"/>
        </w:rPr>
        <w:t xml:space="preserve"> </w:t>
      </w:r>
      <w:r>
        <w:rPr>
          <w:sz w:val="24"/>
          <w:lang w:val="en-GB"/>
        </w:rPr>
        <w:t>VEGF</w:t>
      </w:r>
      <w:r w:rsidRPr="00031297">
        <w:rPr>
          <w:sz w:val="24"/>
        </w:rPr>
        <w:t xml:space="preserve"> expression in SNU-398 and SK-HEP-1 cells </w:t>
      </w:r>
      <w:r w:rsidRPr="00031297">
        <w:rPr>
          <w:sz w:val="24"/>
          <w:lang w:val="en-GB"/>
        </w:rPr>
        <w:t xml:space="preserve">with </w:t>
      </w:r>
      <w:r>
        <w:rPr>
          <w:sz w:val="24"/>
          <w:lang w:val="en-GB"/>
        </w:rPr>
        <w:t>PAARH</w:t>
      </w:r>
      <w:r w:rsidRPr="00031297">
        <w:rPr>
          <w:sz w:val="24"/>
          <w:lang w:val="en-GB"/>
        </w:rPr>
        <w:t xml:space="preserve"> overexpression</w:t>
      </w:r>
      <w:r>
        <w:rPr>
          <w:sz w:val="24"/>
          <w:lang w:val="en-GB"/>
        </w:rPr>
        <w:t xml:space="preserve"> or control</w:t>
      </w:r>
      <w:r w:rsidRPr="00501A71">
        <w:rPr>
          <w:sz w:val="24"/>
        </w:rPr>
        <w:t xml:space="preserve"> under </w:t>
      </w:r>
      <w:r w:rsidRPr="007A7E17">
        <w:rPr>
          <w:sz w:val="24"/>
        </w:rPr>
        <w:t>normoxia</w:t>
      </w:r>
      <w:r w:rsidRPr="00501A71">
        <w:rPr>
          <w:sz w:val="24"/>
        </w:rPr>
        <w:t xml:space="preserve"> </w:t>
      </w:r>
      <w:r w:rsidRPr="00031297">
        <w:rPr>
          <w:sz w:val="24"/>
          <w:lang w:val="en-GB"/>
        </w:rPr>
        <w:t>was measured by qRT-PCR</w:t>
      </w:r>
      <w:r>
        <w:rPr>
          <w:sz w:val="24"/>
        </w:rPr>
        <w:t xml:space="preserve">. </w:t>
      </w:r>
      <w:r>
        <w:rPr>
          <w:b/>
          <w:sz w:val="24"/>
        </w:rPr>
        <w:t>b</w:t>
      </w:r>
      <w:r w:rsidRPr="00031297">
        <w:rPr>
          <w:sz w:val="24"/>
        </w:rPr>
        <w:t xml:space="preserve"> </w:t>
      </w:r>
      <w:r>
        <w:rPr>
          <w:sz w:val="24"/>
          <w:lang w:val="en-GB"/>
        </w:rPr>
        <w:t>VEGF</w:t>
      </w:r>
      <w:r w:rsidRPr="00031297">
        <w:rPr>
          <w:sz w:val="24"/>
        </w:rPr>
        <w:t xml:space="preserve"> expression in</w:t>
      </w:r>
      <w:r>
        <w:rPr>
          <w:sz w:val="24"/>
        </w:rPr>
        <w:t xml:space="preserve"> </w:t>
      </w:r>
      <w:r w:rsidRPr="00031297">
        <w:rPr>
          <w:sz w:val="24"/>
        </w:rPr>
        <w:t xml:space="preserve">SNU-398 and </w:t>
      </w:r>
      <w:r>
        <w:rPr>
          <w:sz w:val="24"/>
        </w:rPr>
        <w:t>Huh7</w:t>
      </w:r>
      <w:r w:rsidRPr="00031297">
        <w:rPr>
          <w:sz w:val="24"/>
        </w:rPr>
        <w:t xml:space="preserve"> cells </w:t>
      </w:r>
      <w:r w:rsidRPr="00031297">
        <w:rPr>
          <w:sz w:val="24"/>
          <w:lang w:val="en-GB"/>
        </w:rPr>
        <w:t xml:space="preserve">with </w:t>
      </w:r>
      <w:r>
        <w:rPr>
          <w:sz w:val="24"/>
          <w:lang w:val="en-GB"/>
        </w:rPr>
        <w:t>PAARH</w:t>
      </w:r>
      <w:r w:rsidRPr="00031297">
        <w:rPr>
          <w:sz w:val="24"/>
          <w:lang w:val="en-GB"/>
        </w:rPr>
        <w:t xml:space="preserve"> </w:t>
      </w:r>
      <w:r>
        <w:rPr>
          <w:sz w:val="24"/>
          <w:lang w:val="en-GB"/>
        </w:rPr>
        <w:t>silencing</w:t>
      </w:r>
      <w:r w:rsidRPr="00031297">
        <w:rPr>
          <w:sz w:val="24"/>
          <w:lang w:val="en-GB"/>
        </w:rPr>
        <w:t xml:space="preserve"> </w:t>
      </w:r>
      <w:r>
        <w:rPr>
          <w:sz w:val="24"/>
          <w:lang w:val="en-GB"/>
        </w:rPr>
        <w:t>or control</w:t>
      </w:r>
      <w:r w:rsidRPr="00501A71">
        <w:rPr>
          <w:sz w:val="24"/>
        </w:rPr>
        <w:t xml:space="preserve"> under </w:t>
      </w:r>
      <w:r w:rsidRPr="007A7E17">
        <w:rPr>
          <w:sz w:val="24"/>
        </w:rPr>
        <w:t>normoxia</w:t>
      </w:r>
      <w:r>
        <w:rPr>
          <w:sz w:val="24"/>
        </w:rPr>
        <w:t xml:space="preserve"> </w:t>
      </w:r>
      <w:r w:rsidRPr="00031297">
        <w:rPr>
          <w:sz w:val="24"/>
          <w:lang w:val="en-GB"/>
        </w:rPr>
        <w:t xml:space="preserve">was measured by qRT-PCR. </w:t>
      </w:r>
      <w:r w:rsidRPr="007A7E17">
        <w:rPr>
          <w:sz w:val="24"/>
          <w:lang w:val="en-GB"/>
        </w:rPr>
        <w:t>R</w:t>
      </w:r>
      <w:r w:rsidRPr="00031297">
        <w:rPr>
          <w:sz w:val="24"/>
          <w:lang w:val="en-GB"/>
        </w:rPr>
        <w:t xml:space="preserve">esults </w:t>
      </w:r>
      <w:r w:rsidRPr="00031297">
        <w:rPr>
          <w:kern w:val="0"/>
          <w:sz w:val="24"/>
        </w:rPr>
        <w:t xml:space="preserve">are </w:t>
      </w:r>
      <w:r>
        <w:rPr>
          <w:kern w:val="0"/>
          <w:sz w:val="24"/>
        </w:rPr>
        <w:t>shown</w:t>
      </w:r>
      <w:r w:rsidRPr="00031297">
        <w:rPr>
          <w:kern w:val="0"/>
          <w:sz w:val="24"/>
        </w:rPr>
        <w:t xml:space="preserve"> as </w:t>
      </w:r>
      <w:r w:rsidRPr="00031297">
        <w:rPr>
          <w:sz w:val="24"/>
        </w:rPr>
        <w:t>mean ± SD</w:t>
      </w:r>
      <w:r w:rsidRPr="00031297">
        <w:rPr>
          <w:kern w:val="0"/>
          <w:sz w:val="24"/>
        </w:rPr>
        <w:t xml:space="preserve"> based on three independent experiments. </w:t>
      </w:r>
      <w:r>
        <w:rPr>
          <w:kern w:val="0"/>
          <w:sz w:val="24"/>
        </w:rPr>
        <w:t xml:space="preserve">ns, not significant, </w:t>
      </w:r>
      <w:r w:rsidRPr="00031297">
        <w:rPr>
          <w:kern w:val="0"/>
          <w:sz w:val="24"/>
        </w:rPr>
        <w:t xml:space="preserve">by Student’s </w:t>
      </w:r>
      <w:r w:rsidRPr="00031297">
        <w:rPr>
          <w:i/>
          <w:kern w:val="0"/>
          <w:sz w:val="24"/>
        </w:rPr>
        <w:t>t</w:t>
      </w:r>
      <w:r w:rsidRPr="00031297">
        <w:rPr>
          <w:kern w:val="0"/>
          <w:sz w:val="24"/>
        </w:rPr>
        <w:t>-test (</w:t>
      </w:r>
      <w:r>
        <w:rPr>
          <w:b/>
          <w:kern w:val="0"/>
          <w:sz w:val="24"/>
        </w:rPr>
        <w:t>a</w:t>
      </w:r>
      <w:r w:rsidRPr="00031297">
        <w:rPr>
          <w:kern w:val="0"/>
          <w:sz w:val="24"/>
        </w:rPr>
        <w:t>)</w:t>
      </w:r>
      <w:r w:rsidRPr="00031297">
        <w:rPr>
          <w:color w:val="000000"/>
          <w:sz w:val="24"/>
        </w:rPr>
        <w:t xml:space="preserve"> or</w:t>
      </w:r>
      <w:r w:rsidRPr="00031297">
        <w:rPr>
          <w:kern w:val="0"/>
          <w:sz w:val="24"/>
        </w:rPr>
        <w:t xml:space="preserve"> one-way ANOVA followed by Dunnett's multiple comparisons test (</w:t>
      </w:r>
      <w:r>
        <w:rPr>
          <w:b/>
          <w:kern w:val="0"/>
          <w:sz w:val="24"/>
        </w:rPr>
        <w:t>b</w:t>
      </w:r>
      <w:r w:rsidRPr="00031297">
        <w:rPr>
          <w:kern w:val="0"/>
          <w:sz w:val="24"/>
        </w:rPr>
        <w:t>)</w:t>
      </w:r>
      <w:r w:rsidRPr="00031297">
        <w:rPr>
          <w:color w:val="000000"/>
          <w:sz w:val="24"/>
        </w:rPr>
        <w:t>.</w:t>
      </w:r>
    </w:p>
    <w:sectPr w:rsidR="00A40F1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1146" w:rsidRDefault="002F1146" w:rsidP="00A17B70">
      <w:r>
        <w:separator/>
      </w:r>
    </w:p>
  </w:endnote>
  <w:endnote w:type="continuationSeparator" w:id="0">
    <w:p w:rsidR="002F1146" w:rsidRDefault="002F1146" w:rsidP="00A17B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emboStd">
    <w:altName w:val="宋体"/>
    <w:panose1 w:val="00000000000000000000"/>
    <w:charset w:val="86"/>
    <w:family w:val="roman"/>
    <w:notTrueType/>
    <w:pitch w:val="default"/>
    <w:sig w:usb0="00000000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1146" w:rsidRDefault="002F1146" w:rsidP="00A17B70">
      <w:r>
        <w:separator/>
      </w:r>
    </w:p>
  </w:footnote>
  <w:footnote w:type="continuationSeparator" w:id="0">
    <w:p w:rsidR="002F1146" w:rsidRDefault="002F1146" w:rsidP="00A17B7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4D9A"/>
    <w:rsid w:val="00000017"/>
    <w:rsid w:val="002F1146"/>
    <w:rsid w:val="00524D9A"/>
    <w:rsid w:val="005C5203"/>
    <w:rsid w:val="006D4CEA"/>
    <w:rsid w:val="007A7E17"/>
    <w:rsid w:val="00A17B70"/>
    <w:rsid w:val="00A40F15"/>
    <w:rsid w:val="00D30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9DA34DE"/>
  <w15:chartTrackingRefBased/>
  <w15:docId w15:val="{012FE37D-308B-4AB4-91F8-F0CA9F6805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7E1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17B7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17B70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17B7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17B70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157</Words>
  <Characters>900</Characters>
  <DocSecurity>0</DocSecurity>
  <Lines>7</Lines>
  <Paragraphs>2</Paragraphs>
  <ScaleCrop>false</ScaleCrop>
  <Company/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dcterms:created xsi:type="dcterms:W3CDTF">2021-06-29T13:44:00Z</dcterms:created>
  <dcterms:modified xsi:type="dcterms:W3CDTF">2021-12-08T10:45:00Z</dcterms:modified>
</cp:coreProperties>
</file>