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Figure S1. The 18 overlapping genes were subjected to prognostic analysis with raw TCGA data.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-E. Kaplan–Meier plots showing the association between the expression of 18 genes and overall survival.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F. The pie chart shows the statistical results of 20 pairs of HCC tissues with high and low expression of ETV4.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Figure S2. The relationship between the ETV4 expression level and clinical information in the UALCAN database and its related SE mechanism.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A.</w:t>
      </w:r>
      <w:r>
        <w:rPr>
          <w:rFonts w:ascii="Times New Roman" w:hAnsi="Times New Roman" w:eastAsia="宋体" w:cs="Times New Roman"/>
          <w:sz w:val="24"/>
          <w:lang w:bidi="ar"/>
        </w:rPr>
        <w:tab/>
      </w:r>
      <w:r>
        <w:rPr>
          <w:rFonts w:ascii="Times New Roman" w:hAnsi="Times New Roman" w:eastAsia="宋体" w:cs="Times New Roman"/>
          <w:sz w:val="24"/>
          <w:lang w:bidi="ar"/>
        </w:rPr>
        <w:t>Expression of ETV4 in the liver hepatocellular carcinoma (LIHC) cohort based on individual cancer stages (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0.05;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0.001).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B.</w:t>
      </w:r>
      <w:r>
        <w:rPr>
          <w:rFonts w:ascii="Times New Roman" w:hAnsi="Times New Roman" w:eastAsia="宋体" w:cs="Times New Roman"/>
          <w:sz w:val="24"/>
          <w:lang w:bidi="ar"/>
        </w:rPr>
        <w:tab/>
      </w:r>
      <w:r>
        <w:rPr>
          <w:rFonts w:ascii="Times New Roman" w:hAnsi="Times New Roman" w:eastAsia="宋体" w:cs="Times New Roman"/>
          <w:sz w:val="24"/>
          <w:lang w:bidi="ar"/>
        </w:rPr>
        <w:t>Expression of ETV4 in the LIHC cohort based on the nodal metastasis status (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0.001).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C.</w:t>
      </w:r>
      <w:r>
        <w:rPr>
          <w:rFonts w:ascii="Times New Roman" w:hAnsi="Times New Roman" w:eastAsia="宋体" w:cs="Times New Roman"/>
          <w:sz w:val="24"/>
          <w:lang w:bidi="ar"/>
        </w:rPr>
        <w:tab/>
      </w:r>
      <w:r>
        <w:rPr>
          <w:rFonts w:ascii="Times New Roman" w:hAnsi="Times New Roman" w:eastAsia="宋体" w:cs="Times New Roman"/>
          <w:sz w:val="24"/>
          <w:lang w:bidi="ar"/>
        </w:rPr>
        <w:t>Expression of ETV4 in the LIHC cohort based on tumor grade (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0.05;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0.01;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0.001).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  <w:r>
        <w:rPr>
          <w:rFonts w:ascii="Times New Roman" w:hAnsi="Times New Roman" w:eastAsia="宋体" w:cs="Times New Roman"/>
          <w:sz w:val="24"/>
          <w:lang w:bidi="ar"/>
        </w:rPr>
        <w:t>D.</w:t>
      </w:r>
      <w:r>
        <w:rPr>
          <w:rFonts w:ascii="Times New Roman" w:hAnsi="Times New Roman" w:eastAsia="宋体" w:cs="Times New Roman"/>
          <w:sz w:val="24"/>
          <w:lang w:bidi="ar"/>
        </w:rPr>
        <w:tab/>
      </w:r>
      <w:r>
        <w:rPr>
          <w:rFonts w:ascii="Times New Roman" w:hAnsi="Times New Roman" w:eastAsia="宋体" w:cs="Times New Roman"/>
          <w:sz w:val="24"/>
          <w:lang w:bidi="ar"/>
        </w:rPr>
        <w:t>Promoter methylation levels of ETV4 in the LIHC cohort (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0.001).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lang w:bidi="ar"/>
        </w:rPr>
      </w:pPr>
      <w:r>
        <w:rPr>
          <w:rFonts w:ascii="Times New Roman" w:hAnsi="Times New Roman" w:eastAsia="宋体" w:cs="Times New Roman"/>
          <w:sz w:val="24"/>
          <w:lang w:bidi="ar"/>
        </w:rPr>
        <w:t>E. Based on a snapshot of chromatin immunoprecipitation (ChIP)-seq data, in L02-HBx cells, the enhancer region of ETV4 showed much more H3K27ac enrichment than its control.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F.</w:t>
      </w:r>
      <w:r>
        <w:rPr>
          <w:rFonts w:ascii="Times New Roman" w:hAnsi="Times New Roman" w:eastAsia="宋体" w:cs="Times New Roman"/>
          <w:sz w:val="24"/>
          <w:lang w:bidi="ar"/>
        </w:rPr>
        <w:tab/>
      </w:r>
      <w:r>
        <w:rPr>
          <w:rFonts w:ascii="Times New Roman" w:hAnsi="Times New Roman" w:eastAsia="宋体" w:cs="Times New Roman"/>
          <w:sz w:val="24"/>
          <w:lang w:bidi="ar"/>
        </w:rPr>
        <w:t>Treatment with the SE inhibitor THZ1 had no effect on ETV4 transcription in MHCC97H and HepG2.2.15 cells.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Figure S3. Screening of HCC cell lines and construction of stably transfected cell lines.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A. WB and qRT–PCR analysis of ETV4 expression in a human nonmalignant cell line and HCC cell lines.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B &amp; C. HepG2 and SK-HEP-1 cells with stable overexpression of ETV4 were constructed (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0.001 and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0.001, respectively).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D &amp; E. HepG2.2.15 and MHCC97H cells with stable knockdown of ETV4 were constructed (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0.001 and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0.001, respectively).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F. GSEA of ETV4 based on the GSE101728 datasets showed that ETV4 expression was positively correlated with the adherens junction signaling pathway.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Figure S4. Prognostic analysis of 4 Wnt/β-catenin pathway genes with the TCGA database and assessment of the relationship between Dvl2 and clinical characteristics.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A. Kaplan–Meier survival curves for 365 HCC patients showed that high levels of AP2AS1, PSMB3, PMSE1 and ZNRF3 expression were related to a poor prognosis (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= 0.1006;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= 0.9883;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= 0.9796;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= 0.1215).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B. Expression of Dvl2 in the LIHC cohort based on individual cancer stages, nodal metastasis status, and tumor grade (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0.01;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0.001; </w:t>
      </w:r>
      <w:r>
        <w:rPr>
          <w:rFonts w:ascii="Times New Roman" w:hAnsi="Times New Roman" w:eastAsia="宋体" w:cs="Times New Roman"/>
          <w:i/>
          <w:iCs/>
          <w:sz w:val="24"/>
          <w:lang w:bidi="ar"/>
        </w:rPr>
        <w:t>P</w:t>
      </w:r>
      <w:r>
        <w:rPr>
          <w:rFonts w:ascii="Times New Roman" w:hAnsi="Times New Roman" w:eastAsia="宋体" w:cs="Times New Roman"/>
          <w:sz w:val="24"/>
          <w:lang w:bidi="ar"/>
        </w:rPr>
        <w:t xml:space="preserve"> &lt; 0.0001).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C. Diagram of possible binding sites at which ETV4 binds to the DVL2 promoter region.</w:t>
      </w:r>
    </w:p>
    <w:p>
      <w:pPr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C4856A"/>
    <w:multiLevelType w:val="multilevel"/>
    <w:tmpl w:val="83C4856A"/>
    <w:lvl w:ilvl="0" w:tentative="0">
      <w:start w:val="1"/>
      <w:numFmt w:val="upperLetter"/>
      <w:suff w:val="nothing"/>
      <w:lvlText w:val="%1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24"/>
    <w:rsid w:val="00386B24"/>
    <w:rsid w:val="003E0885"/>
    <w:rsid w:val="00A02559"/>
    <w:rsid w:val="00E73FC7"/>
    <w:rsid w:val="1DE13ACA"/>
    <w:rsid w:val="1DF027B4"/>
    <w:rsid w:val="220D268C"/>
    <w:rsid w:val="67716D62"/>
    <w:rsid w:val="70AB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uiPriority w:val="0"/>
    <w:pPr>
      <w:jc w:val="left"/>
    </w:pPr>
    <w:rPr>
      <w:rFonts w:ascii="Calibri" w:hAnsi="Calibri" w:eastAsia="宋体" w:cs="Times New Roman"/>
    </w:rPr>
  </w:style>
  <w:style w:type="paragraph" w:styleId="3">
    <w:name w:val="Balloon Text"/>
    <w:basedOn w:val="1"/>
    <w:link w:val="8"/>
    <w:uiPriority w:val="0"/>
    <w:rPr>
      <w:rFonts w:ascii="Segoe UI" w:hAnsi="Segoe UI" w:cs="Segoe UI"/>
      <w:sz w:val="18"/>
      <w:szCs w:val="18"/>
    </w:rPr>
  </w:style>
  <w:style w:type="character" w:styleId="6">
    <w:name w:val="annotation reference"/>
    <w:basedOn w:val="5"/>
    <w:uiPriority w:val="0"/>
    <w:rPr>
      <w:sz w:val="21"/>
      <w:szCs w:val="21"/>
    </w:rPr>
  </w:style>
  <w:style w:type="character" w:customStyle="1" w:styleId="7">
    <w:name w:val="Comment Text Char"/>
    <w:basedOn w:val="5"/>
    <w:link w:val="2"/>
    <w:uiPriority w:val="0"/>
    <w:rPr>
      <w:kern w:val="2"/>
      <w:sz w:val="21"/>
      <w:szCs w:val="24"/>
    </w:rPr>
  </w:style>
  <w:style w:type="character" w:customStyle="1" w:styleId="8">
    <w:name w:val="Balloon Text Char"/>
    <w:basedOn w:val="5"/>
    <w:link w:val="3"/>
    <w:uiPriority w:val="0"/>
    <w:rPr>
      <w:rFonts w:ascii="Segoe UI" w:hAnsi="Segoe UI" w:cs="Segoe UI" w:eastAsiaTheme="minorEastAsia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353</Words>
  <Characters>2016</Characters>
  <Lines>16</Lines>
  <Paragraphs>4</Paragraphs>
  <TotalTime>192</TotalTime>
  <ScaleCrop>false</ScaleCrop>
  <LinksUpToDate>false</LinksUpToDate>
  <CharactersWithSpaces>2365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2021-11-30T19:26:00Z</dcterms:created>
  <dc:creator>t</dc:creator>
  <cp:lastModifiedBy>守缺zcq</cp:lastModifiedBy>
  <dcterms:modified xsi:type="dcterms:W3CDTF">2021-12-05T03:46:55Z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4F386E6BE6EF45BDA8C4229AAE47C394</vt:lpwstr>
  </property>
  <property fmtid="{D5CDD505-2E9C-101B-9397-08002B2CF9AE}" pid="3" name="KSOProductBuildVer">
    <vt:lpwstr>2052-11.1.0.11115</vt:lpwstr>
  </property>
  <property fmtid="{D5CDD505-2E9C-101B-9397-08002B2CF9AE}" pid="4" name="LE1">
    <vt:filetime>2021-11-30T18:45:53Z</vt:filetime>
  </property>
</Properties>
</file>