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F8577" w14:textId="088A18F1" w:rsidR="00E44813" w:rsidRPr="00E04453" w:rsidRDefault="00B54A19" w:rsidP="00B54A19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044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</w:t>
      </w:r>
      <w:r w:rsidR="00096C77" w:rsidRPr="00E0445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</w:t>
      </w:r>
      <w:r w:rsidRPr="00E044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menta</w:t>
      </w:r>
      <w:r w:rsidR="007C2C66" w:rsidRPr="00E0445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l</w:t>
      </w:r>
      <w:r w:rsidRPr="00E044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04453">
        <w:rPr>
          <w:rFonts w:ascii="Times New Roman" w:hAnsi="Times New Roman" w:cs="Times New Roman"/>
          <w:b/>
          <w:bCs/>
          <w:sz w:val="24"/>
          <w:szCs w:val="24"/>
        </w:rPr>
        <w:t>Figure Legends</w:t>
      </w:r>
    </w:p>
    <w:p w14:paraId="58B32006" w14:textId="31734138" w:rsidR="00260D1E" w:rsidRPr="00E04453" w:rsidRDefault="00260D1E" w:rsidP="00260D1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S1 </w:t>
      </w:r>
      <w:r w:rsidR="00FA4B61" w:rsidRPr="00A50CB7">
        <w:rPr>
          <w:rFonts w:ascii="Times New Roman" w:hAnsi="Times New Roman" w:cs="Times New Roman"/>
          <w:b/>
          <w:bCs/>
          <w:sz w:val="24"/>
          <w:szCs w:val="24"/>
        </w:rPr>
        <w:t>Nuclear localized NFATc3 is positively correlated with Hif1α and poorer prognosis in PDAC specimens</w:t>
      </w:r>
    </w:p>
    <w:p w14:paraId="62CBDA6C" w14:textId="3109BFD9" w:rsidR="00B37BE9" w:rsidRPr="00E04453" w:rsidRDefault="00B37BE9" w:rsidP="00B37BE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. Expression</w:t>
      </w:r>
      <w:r w:rsidR="00EE1EF3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260D1E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CC3A43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IF</w:t>
      </w:r>
      <w:r w:rsidR="00260D1E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1α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60 samples of human PDAC tissues and matched adjacent normal tissues </w:t>
      </w:r>
      <w:r w:rsidR="00595AFE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measured 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by IHC</w:t>
      </w:r>
      <w:r w:rsidRPr="00E04453">
        <w:rPr>
          <w:color w:val="000000" w:themeColor="text1"/>
        </w:rPr>
        <w:t xml:space="preserve"> 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staining with an anti-</w:t>
      </w:r>
      <w:r w:rsidR="00260D1E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CC3A43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IF</w:t>
      </w:r>
      <w:r w:rsidR="00260D1E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1α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antibody</w:t>
      </w:r>
      <w:r w:rsidRPr="00E0445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Representative images are shown. Scale bars, 10 μm.</w:t>
      </w:r>
    </w:p>
    <w:p w14:paraId="3B195CCB" w14:textId="17A227B9" w:rsidR="00B37BE9" w:rsidRPr="00E04453" w:rsidRDefault="00B37BE9" w:rsidP="00B37BE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b. Comparative analysis of </w:t>
      </w:r>
      <w:r w:rsidR="00260D1E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CC3A43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IF</w:t>
      </w:r>
      <w:r w:rsidR="00260D1E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1α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expression between PDAC tissues and matched adjacent normal tissues (***P &lt; 0.001).</w:t>
      </w:r>
    </w:p>
    <w:p w14:paraId="06A96BA5" w14:textId="1EE2FEB8" w:rsidR="00B37BE9" w:rsidRPr="00E04453" w:rsidRDefault="00B37BE9" w:rsidP="00B37BE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c. Kaplan–Meier plots and p-values of the log-rank test for comparing survivals of PDAC patients with high (staining score, 5–12) and low (staining score, 0–4) expression of </w:t>
      </w:r>
      <w:r w:rsidR="005C2DFB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CC3A43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IF</w:t>
      </w:r>
      <w:r w:rsidR="005C2DFB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1α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C94E81" w14:textId="38EE4C59" w:rsidR="00260D1E" w:rsidRPr="00E04453" w:rsidRDefault="00B37BE9" w:rsidP="00652FD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d. </w:t>
      </w:r>
      <w:r w:rsidR="00652FD8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Semi-quantitative scoring between H</w:t>
      </w:r>
      <w:r w:rsidR="00CC3A43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IF</w:t>
      </w:r>
      <w:r w:rsidR="00652FD8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1α and nuclear NFATc3 were performed (Pearson’s correlation test; R = 0.6</w:t>
      </w:r>
      <w:r w:rsidR="003436BF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966</w:t>
      </w:r>
      <w:r w:rsidR="00652FD8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, P &lt; 0.001).</w:t>
      </w:r>
    </w:p>
    <w:p w14:paraId="73BF28A5" w14:textId="295A4346" w:rsidR="00271430" w:rsidRPr="00E04453" w:rsidRDefault="00413FF6" w:rsidP="0027143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="005C07D1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71430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PANC-1 and AsPC-1 cells were stimulated with or without hypoxia for the indicated time. The mRNA levels of</w:t>
      </w:r>
      <w:r w:rsidR="00271430" w:rsidRPr="00E0445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405545" w:rsidRPr="00E0445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EGRF</w:t>
      </w:r>
      <w:r w:rsidR="00541C53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05545" w:rsidRPr="00E0445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MYC</w:t>
      </w:r>
      <w:r w:rsidR="00541C53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05545" w:rsidRPr="00E0445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CCND1</w:t>
      </w:r>
      <w:r w:rsidR="00405545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5545" w:rsidRPr="00E0445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and</w:t>
      </w:r>
      <w:r w:rsidR="00405545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5545" w:rsidRPr="00E0445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COX2</w:t>
      </w:r>
      <w:r w:rsidR="00271430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indicated cells were measured by qRT-PCR. The results were statistically calculated from</w:t>
      </w:r>
      <w:r w:rsidR="00271430" w:rsidRPr="00E0445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71430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three independent experiments. Data are presented as mean ± S.D. ***P &lt; 0.001</w:t>
      </w:r>
    </w:p>
    <w:p w14:paraId="63DA3C42" w14:textId="46469368" w:rsidR="00541C53" w:rsidRPr="00E04453" w:rsidRDefault="00541C53" w:rsidP="0027143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282C94" w14:textId="4E48AD59" w:rsidR="00FB6FF0" w:rsidRPr="00E04453" w:rsidRDefault="00FB6FF0" w:rsidP="00FB6FF0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S2 NFATc3 is deSUMOylated by SENP3 under hypoxia</w:t>
      </w:r>
    </w:p>
    <w:p w14:paraId="3B355C30" w14:textId="2799C74F" w:rsidR="00FB6FF0" w:rsidRPr="00E04453" w:rsidRDefault="00FB6FF0" w:rsidP="00FB6FF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Expression of SENP3 in 60 samples of human PDAC tissues and matched adjacent normal tissues </w:t>
      </w:r>
      <w:r w:rsidR="00595AFE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measured 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by IHC</w:t>
      </w:r>
      <w:r w:rsidRPr="00E04453">
        <w:rPr>
          <w:color w:val="000000" w:themeColor="text1"/>
        </w:rPr>
        <w:t xml:space="preserve"> 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staining with an anti-SENP3 antibody</w:t>
      </w:r>
      <w:r w:rsidRPr="00E0445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Representative images are shown. Scale bars, 10 μm.</w:t>
      </w:r>
    </w:p>
    <w:p w14:paraId="091E80CC" w14:textId="7083094B" w:rsidR="00FB6FF0" w:rsidRPr="00E04453" w:rsidRDefault="00FB6FF0" w:rsidP="00FB6FF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b. Comparative analysis of SENP3 expression between PDAC tissues and matched adjacent normal tissues (***P &lt; 0.001).</w:t>
      </w:r>
    </w:p>
    <w:p w14:paraId="62192AD7" w14:textId="117057AE" w:rsidR="00321EDB" w:rsidRPr="00E04453" w:rsidRDefault="00321EDB" w:rsidP="00321ED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c. Semi-quantitative scoring between H</w:t>
      </w:r>
      <w:r w:rsidR="00CC3A43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IF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1α and SENP3 were performed (Pearson’s correlation test; R = 0.</w:t>
      </w:r>
      <w:r w:rsidR="007E24ED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8288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, P &lt; 0.001).</w:t>
      </w:r>
    </w:p>
    <w:p w14:paraId="723FC00A" w14:textId="23B9CE31" w:rsidR="00FB6FF0" w:rsidRPr="00E04453" w:rsidRDefault="00BB23BD" w:rsidP="00FB6FF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B6FF0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Kaplan–Meier plots and p-values of the log-rank test for comparing survivals of PDAC patients with high (staining score, 5–12) and low (staining score, 0–4) expression of SENP3.</w:t>
      </w:r>
    </w:p>
    <w:p w14:paraId="3CF34702" w14:textId="77777777" w:rsidR="00063B79" w:rsidRPr="00E04453" w:rsidRDefault="00DB4FCF" w:rsidP="00DB4FC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S3 </w:t>
      </w:r>
      <w:r w:rsidR="00063B79" w:rsidRPr="00E044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NFATc3 K384 deSUMOylation by SENP3 increases nuclear translocation </w:t>
      </w:r>
      <w:r w:rsidR="00063B79" w:rsidRPr="00E044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of NFATc3 by decreasing its interaction with GSK-3β</w:t>
      </w:r>
    </w:p>
    <w:p w14:paraId="7B7519CC" w14:textId="6740D333" w:rsidR="00DB4FCF" w:rsidRPr="00E04453" w:rsidRDefault="00DB4FCF" w:rsidP="00DB4FC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. Semi-quantitative scoring between SENP3 and nuclear NFATc3 were performed (Pearson’s correlation test; R = 0.</w:t>
      </w:r>
      <w:r w:rsidR="00EC5361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7377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, P &lt; 0.001).</w:t>
      </w:r>
    </w:p>
    <w:p w14:paraId="238BE7DB" w14:textId="6611D07E" w:rsidR="00DF4BE7" w:rsidRPr="00E04453" w:rsidRDefault="00397988" w:rsidP="00DF4BE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b. PANC-1 cells that stably </w:t>
      </w:r>
      <w:r w:rsidR="00595AFE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expressing 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Flag-WT NFATc3 or Flag-NATc3 K384R were </w:t>
      </w:r>
      <w:r w:rsidR="00DF4BE7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pretreated with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CsA </w:t>
      </w:r>
      <w:r w:rsidR="00C93970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1.0 µM</w:t>
      </w:r>
      <w:r w:rsidR="00C93970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16545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4BE7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1 h before being cultured for </w:t>
      </w:r>
      <w:r w:rsidR="007739C3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DF4BE7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 under hypoxia.</w:t>
      </w:r>
    </w:p>
    <w:p w14:paraId="0A54103F" w14:textId="7D95F7FF" w:rsidR="00584555" w:rsidRPr="00E04453" w:rsidRDefault="00584555" w:rsidP="0027143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752687" w14:textId="554DA008" w:rsidR="00B42C5E" w:rsidRPr="00E04453" w:rsidRDefault="00B42C5E" w:rsidP="00B42C5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S4 </w:t>
      </w:r>
      <w:r w:rsidR="00DE04DC" w:rsidRPr="00E044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DeSUMOylation of NFATc3 by SENP3 promotes PDAC cell proliferation and metastasis in vitro</w:t>
      </w:r>
    </w:p>
    <w:p w14:paraId="77676411" w14:textId="33045077" w:rsidR="0098579B" w:rsidRPr="00E04453" w:rsidRDefault="0098579B" w:rsidP="0098579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 - d) AsPC-1 cells with depleted NFATc3 and reconstituted expression of WT rNFATc3 or rNFATc3 K384R were cultured with or without hypoxia. </w:t>
      </w:r>
    </w:p>
    <w:p w14:paraId="5476CA33" w14:textId="6892CDFD" w:rsidR="0098579B" w:rsidRPr="00E04453" w:rsidRDefault="0098579B" w:rsidP="0098579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(a and b) Indicated AsPC-1 cells were plated for the indicated periods under hypoxia before measuring cell proliferation (a) or for two weeks before counting colony numbers (b). Data are presented as the means ± SD from three independent experiments. *p &lt; 0.05; **p &lt; 0.01; ***p &lt; 0.001.</w:t>
      </w:r>
    </w:p>
    <w:p w14:paraId="6C37E143" w14:textId="571693D2" w:rsidR="0098579B" w:rsidRPr="00E04453" w:rsidRDefault="005D28CA" w:rsidP="0098579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98579B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Indicated 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AsPC-1</w:t>
      </w:r>
      <w:r w:rsidR="0098579B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 were cultured in serum free medium for 24 h under normoxia or hypoxia, and concentrations of the MMP2 in culture supernatants were measured by ELISA. Data are presented as the means ± SD from three independent experiments. ***p &lt; 0.001.</w:t>
      </w:r>
    </w:p>
    <w:p w14:paraId="7C4A5D0E" w14:textId="58534017" w:rsidR="00283A32" w:rsidRPr="00647813" w:rsidRDefault="005D28CA" w:rsidP="00283A3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98579B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migration and invasion of the indicated </w:t>
      </w:r>
      <w:r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AsPC-1 </w:t>
      </w:r>
      <w:r w:rsidR="0098579B" w:rsidRPr="00E04453">
        <w:rPr>
          <w:rFonts w:ascii="Times New Roman" w:hAnsi="Times New Roman" w:cs="Times New Roman"/>
          <w:color w:val="000000" w:themeColor="text1"/>
          <w:sz w:val="24"/>
          <w:szCs w:val="24"/>
        </w:rPr>
        <w:t>cells was examined by the transwell invasion assay. The membrane was photographed using a digital camera mounted onto a microscope. Scale bars, 50 μm. Data are presented as mean ± S.D. ***P &lt; 0.001.</w:t>
      </w:r>
      <w:r w:rsidR="0098579B" w:rsidRPr="001E2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283A32" w:rsidRPr="006478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91559" w14:textId="77777777" w:rsidR="005D04F1" w:rsidRDefault="005D04F1" w:rsidP="00951288">
      <w:r>
        <w:separator/>
      </w:r>
    </w:p>
  </w:endnote>
  <w:endnote w:type="continuationSeparator" w:id="0">
    <w:p w14:paraId="2D8FE58C" w14:textId="77777777" w:rsidR="005D04F1" w:rsidRDefault="005D04F1" w:rsidP="00951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F4AE1" w14:textId="77777777" w:rsidR="005D04F1" w:rsidRDefault="005D04F1" w:rsidP="00951288">
      <w:r>
        <w:separator/>
      </w:r>
    </w:p>
  </w:footnote>
  <w:footnote w:type="continuationSeparator" w:id="0">
    <w:p w14:paraId="4D0DA00B" w14:textId="77777777" w:rsidR="005D04F1" w:rsidRDefault="005D04F1" w:rsidP="009512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7F7"/>
    <w:rsid w:val="000200AF"/>
    <w:rsid w:val="00056D81"/>
    <w:rsid w:val="00063B79"/>
    <w:rsid w:val="00096C77"/>
    <w:rsid w:val="0011188C"/>
    <w:rsid w:val="001924C9"/>
    <w:rsid w:val="00205207"/>
    <w:rsid w:val="00255F28"/>
    <w:rsid w:val="00260D1E"/>
    <w:rsid w:val="00271430"/>
    <w:rsid w:val="00283A32"/>
    <w:rsid w:val="002B10D4"/>
    <w:rsid w:val="002E37B5"/>
    <w:rsid w:val="002F52B1"/>
    <w:rsid w:val="00306281"/>
    <w:rsid w:val="00321EDB"/>
    <w:rsid w:val="00330C9B"/>
    <w:rsid w:val="003436BF"/>
    <w:rsid w:val="00371391"/>
    <w:rsid w:val="00384186"/>
    <w:rsid w:val="0039664C"/>
    <w:rsid w:val="00397988"/>
    <w:rsid w:val="003B5CC6"/>
    <w:rsid w:val="00405545"/>
    <w:rsid w:val="00406998"/>
    <w:rsid w:val="00413FF6"/>
    <w:rsid w:val="004E764D"/>
    <w:rsid w:val="00541C53"/>
    <w:rsid w:val="005777F7"/>
    <w:rsid w:val="00584555"/>
    <w:rsid w:val="00595AFE"/>
    <w:rsid w:val="005B5AF4"/>
    <w:rsid w:val="005C07D1"/>
    <w:rsid w:val="005C2DFB"/>
    <w:rsid w:val="005D04F1"/>
    <w:rsid w:val="005D28CA"/>
    <w:rsid w:val="00605F4E"/>
    <w:rsid w:val="00612000"/>
    <w:rsid w:val="0063257B"/>
    <w:rsid w:val="006458E9"/>
    <w:rsid w:val="00647813"/>
    <w:rsid w:val="00652FD8"/>
    <w:rsid w:val="00716545"/>
    <w:rsid w:val="007739C3"/>
    <w:rsid w:val="00793D64"/>
    <w:rsid w:val="007B3927"/>
    <w:rsid w:val="007C02A6"/>
    <w:rsid w:val="007C1CFB"/>
    <w:rsid w:val="007C2C66"/>
    <w:rsid w:val="007E1A4C"/>
    <w:rsid w:val="007E24ED"/>
    <w:rsid w:val="0085175D"/>
    <w:rsid w:val="008920BA"/>
    <w:rsid w:val="00892B26"/>
    <w:rsid w:val="008A57E9"/>
    <w:rsid w:val="008B43A3"/>
    <w:rsid w:val="008E2415"/>
    <w:rsid w:val="00951288"/>
    <w:rsid w:val="009646F5"/>
    <w:rsid w:val="0098579B"/>
    <w:rsid w:val="009D4105"/>
    <w:rsid w:val="00A41F80"/>
    <w:rsid w:val="00A50CB7"/>
    <w:rsid w:val="00AD15C4"/>
    <w:rsid w:val="00B01EDC"/>
    <w:rsid w:val="00B37BE9"/>
    <w:rsid w:val="00B42C5E"/>
    <w:rsid w:val="00B54A19"/>
    <w:rsid w:val="00B6585E"/>
    <w:rsid w:val="00B96FE8"/>
    <w:rsid w:val="00BB23BD"/>
    <w:rsid w:val="00BE2A1D"/>
    <w:rsid w:val="00C718E9"/>
    <w:rsid w:val="00C75775"/>
    <w:rsid w:val="00C773E1"/>
    <w:rsid w:val="00C93970"/>
    <w:rsid w:val="00CC3A43"/>
    <w:rsid w:val="00D2278E"/>
    <w:rsid w:val="00D64B7A"/>
    <w:rsid w:val="00D9467C"/>
    <w:rsid w:val="00DB267D"/>
    <w:rsid w:val="00DB4FCF"/>
    <w:rsid w:val="00DE04DC"/>
    <w:rsid w:val="00DF4BE7"/>
    <w:rsid w:val="00E04453"/>
    <w:rsid w:val="00E44813"/>
    <w:rsid w:val="00EA258C"/>
    <w:rsid w:val="00EC3A31"/>
    <w:rsid w:val="00EC5361"/>
    <w:rsid w:val="00ED3BE8"/>
    <w:rsid w:val="00EE1EF3"/>
    <w:rsid w:val="00F113BB"/>
    <w:rsid w:val="00F311C6"/>
    <w:rsid w:val="00FA4B61"/>
    <w:rsid w:val="00FB0702"/>
    <w:rsid w:val="00FB2D72"/>
    <w:rsid w:val="00FB6FF0"/>
    <w:rsid w:val="00FD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0CE63"/>
  <w15:chartTrackingRefBased/>
  <w15:docId w15:val="{8EB0470A-665A-4706-A868-F6DAE8F3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2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12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12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1288"/>
    <w:rPr>
      <w:sz w:val="18"/>
      <w:szCs w:val="18"/>
    </w:rPr>
  </w:style>
  <w:style w:type="paragraph" w:styleId="a7">
    <w:name w:val="Revision"/>
    <w:hidden/>
    <w:uiPriority w:val="99"/>
    <w:semiHidden/>
    <w:rsid w:val="00CC3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仝 营营</dc:creator>
  <cp:keywords/>
  <dc:description/>
  <cp:lastModifiedBy>仝 营营</cp:lastModifiedBy>
  <cp:revision>24</cp:revision>
  <dcterms:created xsi:type="dcterms:W3CDTF">2021-11-03T06:29:00Z</dcterms:created>
  <dcterms:modified xsi:type="dcterms:W3CDTF">2022-02-21T13:51:00Z</dcterms:modified>
</cp:coreProperties>
</file>