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597B" w14:textId="77777777" w:rsidR="00D51604" w:rsidRPr="00593E63" w:rsidRDefault="00D51604" w:rsidP="00D51604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spacing w:line="360" w:lineRule="auto"/>
        <w:contextualSpacing/>
        <w:jc w:val="left"/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en-GB" w:eastAsia="en-US"/>
        </w:rPr>
      </w:pPr>
      <w:r w:rsidRPr="00593E63">
        <w:rPr>
          <w:rFonts w:ascii="Times New Roman" w:hAnsi="Times New Roman" w:cs="Times New Roman"/>
          <w:b/>
          <w:bCs/>
          <w:sz w:val="24"/>
          <w:szCs w:val="24"/>
        </w:rPr>
        <w:t xml:space="preserve">Appendix A. Supplementary </w:t>
      </w:r>
      <w:r w:rsidRPr="00593E63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val="en-GB" w:eastAsia="en-US"/>
        </w:rPr>
        <w:t>FIGURE LEGENDS</w:t>
      </w:r>
    </w:p>
    <w:p w14:paraId="2325C9AA" w14:textId="195188F8" w:rsidR="0096715C" w:rsidRPr="00593E63" w:rsidRDefault="0096715C" w:rsidP="00D51604">
      <w:pPr>
        <w:rPr>
          <w:sz w:val="24"/>
          <w:szCs w:val="24"/>
        </w:rPr>
      </w:pPr>
    </w:p>
    <w:p w14:paraId="4ED9E0A1" w14:textId="65591D55" w:rsidR="00A01B53" w:rsidRPr="00593E63" w:rsidRDefault="00D51604" w:rsidP="00EB3E7B">
      <w:pPr>
        <w:rPr>
          <w:rFonts w:ascii="Times New Roman" w:hAnsi="Times New Roman" w:cs="Times New Roman"/>
          <w:bCs/>
          <w:sz w:val="24"/>
          <w:szCs w:val="24"/>
        </w:rPr>
      </w:pPr>
      <w:r w:rsidRPr="00593E63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="00A01B53" w:rsidRPr="00593E63">
        <w:rPr>
          <w:rFonts w:ascii="Times New Roman" w:hAnsi="Times New Roman" w:cs="Times New Roman"/>
          <w:b/>
          <w:sz w:val="24"/>
          <w:szCs w:val="24"/>
        </w:rPr>
        <w:t>The prognostic values of CLDN4 in validated cohorts.</w:t>
      </w:r>
      <w:r w:rsidR="00EB3E7B" w:rsidRPr="00593E63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 w:rsidR="00A01B53" w:rsidRPr="00593E63">
        <w:rPr>
          <w:rFonts w:ascii="Times New Roman" w:hAnsi="Times New Roman" w:cs="Times New Roman"/>
          <w:bCs/>
          <w:sz w:val="24"/>
          <w:szCs w:val="24"/>
        </w:rPr>
        <w:t xml:space="preserve">The expression of CLDN4 in glioma tissues in </w:t>
      </w:r>
      <w:proofErr w:type="spellStart"/>
      <w:r w:rsidR="00A01B53" w:rsidRPr="00593E63">
        <w:rPr>
          <w:rFonts w:ascii="Times New Roman" w:hAnsi="Times New Roman" w:cs="Times New Roman"/>
          <w:bCs/>
          <w:sz w:val="24"/>
          <w:szCs w:val="24"/>
        </w:rPr>
        <w:t>TCGA</w:t>
      </w:r>
      <w:proofErr w:type="spellEnd"/>
      <w:r w:rsidR="00A01B53" w:rsidRPr="00593E6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="00A01B53" w:rsidRPr="00593E63">
        <w:rPr>
          <w:rFonts w:ascii="Times New Roman" w:hAnsi="Times New Roman" w:cs="Times New Roman"/>
          <w:bCs/>
          <w:sz w:val="24"/>
          <w:szCs w:val="24"/>
        </w:rPr>
        <w:t>GTEx</w:t>
      </w:r>
      <w:proofErr w:type="spellEnd"/>
      <w:r w:rsidR="00A01B53" w:rsidRPr="00593E63">
        <w:rPr>
          <w:rFonts w:ascii="Times New Roman" w:hAnsi="Times New Roman" w:cs="Times New Roman"/>
          <w:bCs/>
          <w:sz w:val="24"/>
          <w:szCs w:val="24"/>
        </w:rPr>
        <w:t xml:space="preserve"> datasets.</w:t>
      </w:r>
      <w:r w:rsidR="00EB3E7B" w:rsidRPr="00593E63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="00EA3F4D" w:rsidRPr="00593E63">
        <w:rPr>
          <w:rFonts w:ascii="Times New Roman" w:hAnsi="Times New Roman" w:cs="Times New Roman"/>
          <w:bCs/>
          <w:sz w:val="24"/>
          <w:szCs w:val="24"/>
        </w:rPr>
        <w:t>The expression of CLDN4 in glioma tissues in REMBRANDT datasets.</w:t>
      </w:r>
      <w:r w:rsidR="00EB3E7B" w:rsidRPr="00593E63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(C) </w:t>
      </w:r>
      <w:r w:rsidR="00EA3F4D" w:rsidRPr="00593E63">
        <w:rPr>
          <w:rFonts w:ascii="Times New Roman" w:hAnsi="Times New Roman" w:cs="Times New Roman"/>
          <w:bCs/>
          <w:sz w:val="24"/>
          <w:szCs w:val="24"/>
        </w:rPr>
        <w:t>The expression of CLDN4 in glioma tissues in CGGA-301 datasets.</w:t>
      </w:r>
      <w:r w:rsidR="00593E63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(D) </w:t>
      </w:r>
      <w:r w:rsidR="00EA3F4D" w:rsidRPr="00593E63">
        <w:rPr>
          <w:rFonts w:ascii="Times New Roman" w:hAnsi="Times New Roman" w:cs="Times New Roman"/>
          <w:bCs/>
          <w:sz w:val="24"/>
          <w:szCs w:val="24"/>
        </w:rPr>
        <w:t>The expression of CLDN4 in glioma tissues in CGGA-693 datasets.</w:t>
      </w:r>
      <w:r w:rsidR="00EB3E7B" w:rsidRPr="00593E63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(E-F) The Kaplan-Meier survival curves were performed with </w:t>
      </w:r>
      <w:proofErr w:type="spellStart"/>
      <w:r w:rsidR="00EA3F4D" w:rsidRPr="00593E63">
        <w:rPr>
          <w:rFonts w:ascii="Times New Roman" w:hAnsi="Times New Roman" w:cs="Times New Roman"/>
          <w:bCs/>
          <w:sz w:val="24"/>
          <w:szCs w:val="24"/>
        </w:rPr>
        <w:t>TCGA</w:t>
      </w:r>
      <w:proofErr w:type="spellEnd"/>
      <w:r w:rsidR="00EA3F4D" w:rsidRPr="00593E63">
        <w:rPr>
          <w:rFonts w:ascii="Times New Roman" w:hAnsi="Times New Roman" w:cs="Times New Roman"/>
          <w:bCs/>
          <w:sz w:val="24"/>
          <w:szCs w:val="24"/>
        </w:rPr>
        <w:t xml:space="preserve"> data sets. 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The correlation between CLDN4 expression and overall survival (OS) and disease-free survival (DFS) in </w:t>
      </w:r>
      <w:r w:rsidR="00EB3E7B" w:rsidRPr="00593E63">
        <w:rPr>
          <w:rFonts w:ascii="Times New Roman" w:hAnsi="Times New Roman" w:cs="Times New Roman" w:hint="eastAsia"/>
          <w:bCs/>
          <w:sz w:val="24"/>
          <w:szCs w:val="24"/>
        </w:rPr>
        <w:t>all</w:t>
      </w:r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 glioma patients, Low grade glioma patients or </w:t>
      </w:r>
      <w:proofErr w:type="spellStart"/>
      <w:r w:rsidR="00EB3E7B" w:rsidRPr="00593E63">
        <w:rPr>
          <w:rFonts w:ascii="Times New Roman" w:hAnsi="Times New Roman" w:cs="Times New Roman"/>
          <w:bCs/>
          <w:sz w:val="24"/>
          <w:szCs w:val="24"/>
        </w:rPr>
        <w:t>GBM</w:t>
      </w:r>
      <w:proofErr w:type="spellEnd"/>
      <w:r w:rsidR="00EB3E7B" w:rsidRPr="00593E63">
        <w:rPr>
          <w:rFonts w:ascii="Times New Roman" w:hAnsi="Times New Roman" w:cs="Times New Roman"/>
          <w:bCs/>
          <w:sz w:val="24"/>
          <w:szCs w:val="24"/>
        </w:rPr>
        <w:t xml:space="preserve"> patients.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>*</w:t>
      </w:r>
      <w:r w:rsidR="00DD76F4" w:rsidRPr="00593E63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&lt; 0.05, **</w:t>
      </w:r>
      <w:r w:rsidR="00DD76F4" w:rsidRPr="00593E63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D76F4" w:rsidRPr="00593E63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&lt; 0.001.</w:t>
      </w:r>
    </w:p>
    <w:p w14:paraId="7C6BFCBC" w14:textId="55CBB62D" w:rsidR="00EB3E7B" w:rsidRPr="00593E63" w:rsidRDefault="00EB3E7B" w:rsidP="00EB3E7B">
      <w:pPr>
        <w:rPr>
          <w:rFonts w:ascii="Times New Roman" w:hAnsi="Times New Roman" w:cs="Times New Roman"/>
          <w:bCs/>
          <w:sz w:val="24"/>
          <w:szCs w:val="24"/>
        </w:rPr>
      </w:pPr>
    </w:p>
    <w:p w14:paraId="0318BC2F" w14:textId="56962F4F" w:rsidR="00EB3E7B" w:rsidRPr="00593E63" w:rsidRDefault="00EB3E7B" w:rsidP="00EB3E7B">
      <w:pPr>
        <w:rPr>
          <w:rFonts w:ascii="Times New Roman" w:hAnsi="Times New Roman" w:cs="Times New Roman"/>
          <w:bCs/>
          <w:sz w:val="24"/>
          <w:szCs w:val="24"/>
        </w:rPr>
      </w:pPr>
      <w:r w:rsidRPr="00593E63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="00B932FA" w:rsidRPr="00593E63">
        <w:rPr>
          <w:rFonts w:ascii="Times New Roman" w:hAnsi="Times New Roman" w:cs="Times New Roman"/>
          <w:b/>
          <w:sz w:val="24"/>
          <w:szCs w:val="24"/>
        </w:rPr>
        <w:t>CLDN4 knockdown can inhibit the activation of NF-</w:t>
      </w:r>
      <w:proofErr w:type="spellStart"/>
      <w:r w:rsidR="00B932FA" w:rsidRPr="00593E63">
        <w:rPr>
          <w:rFonts w:ascii="Times New Roman" w:hAnsi="Times New Roman" w:cs="Times New Roman"/>
          <w:b/>
          <w:sz w:val="24"/>
          <w:szCs w:val="24"/>
        </w:rPr>
        <w:t>κB</w:t>
      </w:r>
      <w:proofErr w:type="spellEnd"/>
      <w:r w:rsidR="00B932FA" w:rsidRPr="00593E63">
        <w:rPr>
          <w:rFonts w:ascii="Times New Roman" w:hAnsi="Times New Roman" w:cs="Times New Roman"/>
          <w:b/>
          <w:sz w:val="24"/>
          <w:szCs w:val="24"/>
        </w:rPr>
        <w:t xml:space="preserve"> signal induced by TNF-α</w:t>
      </w:r>
      <w:r w:rsidR="008956E8" w:rsidRPr="00593E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6E8" w:rsidRPr="00593E63">
        <w:rPr>
          <w:rFonts w:ascii="Times New Roman" w:hAnsi="Times New Roman" w:cs="Times New Roman"/>
          <w:bCs/>
          <w:sz w:val="24"/>
          <w:szCs w:val="24"/>
        </w:rPr>
        <w:t>(A) NF-</w:t>
      </w:r>
      <w:proofErr w:type="spellStart"/>
      <w:r w:rsidR="008956E8" w:rsidRPr="00593E63">
        <w:rPr>
          <w:rFonts w:ascii="Times New Roman" w:hAnsi="Times New Roman" w:cs="Times New Roman"/>
          <w:bCs/>
          <w:sz w:val="24"/>
          <w:szCs w:val="24"/>
        </w:rPr>
        <w:t>κB</w:t>
      </w:r>
      <w:proofErr w:type="spellEnd"/>
      <w:r w:rsidR="008956E8" w:rsidRPr="00593E63">
        <w:rPr>
          <w:rFonts w:ascii="Times New Roman" w:hAnsi="Times New Roman" w:cs="Times New Roman"/>
          <w:bCs/>
          <w:sz w:val="24"/>
          <w:szCs w:val="24"/>
        </w:rPr>
        <w:t xml:space="preserve"> reporter assays show up-regulation of NF-</w:t>
      </w:r>
      <w:proofErr w:type="spellStart"/>
      <w:r w:rsidR="008956E8" w:rsidRPr="00593E63">
        <w:rPr>
          <w:rFonts w:ascii="Times New Roman" w:hAnsi="Times New Roman" w:cs="Times New Roman"/>
          <w:bCs/>
          <w:sz w:val="24"/>
          <w:szCs w:val="24"/>
        </w:rPr>
        <w:t>κB</w:t>
      </w:r>
      <w:proofErr w:type="spellEnd"/>
      <w:r w:rsidR="008956E8" w:rsidRPr="00593E63">
        <w:rPr>
          <w:rFonts w:ascii="Times New Roman" w:hAnsi="Times New Roman" w:cs="Times New Roman"/>
          <w:bCs/>
          <w:sz w:val="24"/>
          <w:szCs w:val="24"/>
        </w:rPr>
        <w:t xml:space="preserve"> activity with the expression of CLDN4 in vitro.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**</w:t>
      </w:r>
      <w:r w:rsidR="00DD76F4" w:rsidRPr="00593E63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&lt; 0.01, ***</w:t>
      </w:r>
      <w:r w:rsidR="00DD76F4" w:rsidRPr="00593E63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DD76F4" w:rsidRPr="00593E63">
        <w:rPr>
          <w:rFonts w:ascii="Times New Roman" w:hAnsi="Times New Roman" w:cs="Times New Roman"/>
          <w:bCs/>
          <w:sz w:val="24"/>
          <w:szCs w:val="24"/>
        </w:rPr>
        <w:t xml:space="preserve"> &lt; 0.001.</w:t>
      </w:r>
    </w:p>
    <w:sectPr w:rsidR="00EB3E7B" w:rsidRPr="00593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A2F90" w14:textId="77777777" w:rsidR="004D3BEE" w:rsidRDefault="004D3BEE" w:rsidP="00D51604">
      <w:r>
        <w:separator/>
      </w:r>
    </w:p>
  </w:endnote>
  <w:endnote w:type="continuationSeparator" w:id="0">
    <w:p w14:paraId="6923986D" w14:textId="77777777" w:rsidR="004D3BEE" w:rsidRDefault="004D3BEE" w:rsidP="00D5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Gothic Std 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4C541" w14:textId="77777777" w:rsidR="004D3BEE" w:rsidRDefault="004D3BEE" w:rsidP="00D51604">
      <w:r>
        <w:separator/>
      </w:r>
    </w:p>
  </w:footnote>
  <w:footnote w:type="continuationSeparator" w:id="0">
    <w:p w14:paraId="06E08A0B" w14:textId="77777777" w:rsidR="004D3BEE" w:rsidRDefault="004D3BEE" w:rsidP="00D51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C6DF8"/>
    <w:multiLevelType w:val="hybridMultilevel"/>
    <w:tmpl w:val="BA7E16BE"/>
    <w:lvl w:ilvl="0" w:tplc="CA826FEE">
      <w:start w:val="1"/>
      <w:numFmt w:val="upp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9331DE"/>
    <w:multiLevelType w:val="hybridMultilevel"/>
    <w:tmpl w:val="0CFC930E"/>
    <w:lvl w:ilvl="0" w:tplc="EF3C91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66"/>
    <w:rsid w:val="004D3BEE"/>
    <w:rsid w:val="00593E63"/>
    <w:rsid w:val="005F712A"/>
    <w:rsid w:val="008956E8"/>
    <w:rsid w:val="0096715C"/>
    <w:rsid w:val="00A01B53"/>
    <w:rsid w:val="00B51966"/>
    <w:rsid w:val="00B932FA"/>
    <w:rsid w:val="00C50521"/>
    <w:rsid w:val="00D51604"/>
    <w:rsid w:val="00DD76F4"/>
    <w:rsid w:val="00EA3F4D"/>
    <w:rsid w:val="00EB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27B4D"/>
  <w15:chartTrackingRefBased/>
  <w15:docId w15:val="{892784B8-2C6E-4662-ACA3-DE53820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16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1604"/>
    <w:rPr>
      <w:sz w:val="18"/>
      <w:szCs w:val="18"/>
    </w:rPr>
  </w:style>
  <w:style w:type="paragraph" w:styleId="a7">
    <w:name w:val="List Paragraph"/>
    <w:basedOn w:val="a"/>
    <w:uiPriority w:val="34"/>
    <w:qFormat/>
    <w:rsid w:val="00A01B53"/>
    <w:pPr>
      <w:ind w:firstLineChars="200" w:firstLine="420"/>
    </w:pPr>
  </w:style>
  <w:style w:type="character" w:styleId="a8">
    <w:name w:val="Emphasis"/>
    <w:basedOn w:val="a0"/>
    <w:uiPriority w:val="20"/>
    <w:qFormat/>
    <w:rsid w:val="00EA3F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yan</dc:creator>
  <cp:keywords/>
  <dc:description/>
  <cp:lastModifiedBy>DR yan</cp:lastModifiedBy>
  <cp:revision>5</cp:revision>
  <dcterms:created xsi:type="dcterms:W3CDTF">2021-12-05T09:33:00Z</dcterms:created>
  <dcterms:modified xsi:type="dcterms:W3CDTF">2021-12-06T16:44:00Z</dcterms:modified>
</cp:coreProperties>
</file>