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4CB" w:rsidRPr="00D20E03" w:rsidRDefault="008824CB" w:rsidP="008824CB">
      <w:pPr>
        <w:spacing w:line="480" w:lineRule="auto"/>
        <w:rPr>
          <w:rFonts w:ascii="Arial" w:hAnsi="Arial" w:cs="Arial"/>
        </w:rPr>
      </w:pPr>
      <w:r w:rsidRPr="00D20E03">
        <w:rPr>
          <w:rFonts w:ascii="Arial" w:hAnsi="Arial" w:cs="Arial"/>
          <w:b/>
          <w:bCs/>
        </w:rPr>
        <w:t xml:space="preserve">Supplementary Figure 1. </w:t>
      </w:r>
      <w:r w:rsidRPr="00D20E03">
        <w:rPr>
          <w:rFonts w:ascii="Arial" w:hAnsi="Arial" w:cs="Arial"/>
        </w:rPr>
        <w:t>Inhibition of mitophagy by 3-MA impaired mitochondrial homeostasis and ESC identity. (</w:t>
      </w:r>
      <w:r w:rsidRPr="00D20E03">
        <w:rPr>
          <w:rFonts w:ascii="Arial" w:hAnsi="Arial" w:cs="Arial"/>
          <w:b/>
          <w:bCs/>
        </w:rPr>
        <w:t>A</w:t>
      </w:r>
      <w:r w:rsidRPr="00D20E03">
        <w:rPr>
          <w:rFonts w:ascii="Arial" w:hAnsi="Arial" w:cs="Arial"/>
        </w:rPr>
        <w:t>) 3-MA inhibited mitophagosome formation in ESCs. LC3-GFP, Mito-RFP ESCs were treated with DMSO or 3-MA (5 mM) for 4h, then fixed and stained with DAPI for imaging. (</w:t>
      </w:r>
      <w:r w:rsidRPr="00D20E03">
        <w:rPr>
          <w:rFonts w:ascii="Arial" w:hAnsi="Arial" w:cs="Arial"/>
          <w:b/>
          <w:bCs/>
        </w:rPr>
        <w:t>B</w:t>
      </w:r>
      <w:r w:rsidRPr="00D20E03">
        <w:rPr>
          <w:rFonts w:ascii="Arial" w:hAnsi="Arial" w:cs="Arial"/>
        </w:rPr>
        <w:t>) Inhibition of mitophagy by 3-MA increased Mito-mass of ESCs.  ESCs were treated with DMSO or 3-MA, and stained with Mito-tracker green for FACS analysis. Data are shown as mean ± SD, n=3; *, P&lt;0.05; Student’s t-test. (</w:t>
      </w:r>
      <w:r w:rsidRPr="00D20E03">
        <w:rPr>
          <w:rFonts w:ascii="Arial" w:hAnsi="Arial" w:cs="Arial"/>
          <w:b/>
          <w:bCs/>
        </w:rPr>
        <w:t>C</w:t>
      </w:r>
      <w:r w:rsidRPr="00D20E03">
        <w:rPr>
          <w:rFonts w:ascii="Arial" w:hAnsi="Arial" w:cs="Arial"/>
        </w:rPr>
        <w:t>) Inhibition of mitophagy by 3-MA decreased relative mitochondrial membrane potential of ESCs. Data are shown as mean ± SD, n=3; *, P&lt;0.05; Student’s t-test. (</w:t>
      </w:r>
      <w:r w:rsidRPr="00D20E03">
        <w:rPr>
          <w:rFonts w:ascii="Arial" w:hAnsi="Arial" w:cs="Arial"/>
          <w:b/>
          <w:bCs/>
        </w:rPr>
        <w:t>D</w:t>
      </w:r>
      <w:r w:rsidRPr="00D20E03">
        <w:rPr>
          <w:rFonts w:ascii="Arial" w:hAnsi="Arial" w:cs="Arial"/>
        </w:rPr>
        <w:t>) 3-MA impaired self-renewal of ESCs. Data are shown as mean ± SD, n=3; **, P&lt;0.01; Student’s t-test. (</w:t>
      </w:r>
      <w:r w:rsidRPr="00D20E03">
        <w:rPr>
          <w:rFonts w:ascii="Arial" w:hAnsi="Arial" w:cs="Arial"/>
          <w:b/>
          <w:bCs/>
        </w:rPr>
        <w:t>E</w:t>
      </w:r>
      <w:r w:rsidRPr="00D20E03">
        <w:rPr>
          <w:rFonts w:ascii="Arial" w:hAnsi="Arial" w:cs="Arial"/>
        </w:rPr>
        <w:t>) 3-MA inhibited pluripotency gene expression of ESCs. Data are shown as mean ± SD, n=3; *, P&lt;0.05; Student’s t-test.</w:t>
      </w:r>
    </w:p>
    <w:p w:rsidR="008824CB" w:rsidRPr="00D20E03" w:rsidRDefault="008824CB" w:rsidP="008824CB">
      <w:pPr>
        <w:spacing w:line="480" w:lineRule="auto"/>
        <w:rPr>
          <w:rFonts w:ascii="Arial" w:hAnsi="Arial" w:cs="Arial"/>
        </w:rPr>
      </w:pPr>
    </w:p>
    <w:p w:rsidR="008824CB" w:rsidRDefault="008824CB" w:rsidP="008824CB">
      <w:pPr>
        <w:spacing w:line="480" w:lineRule="auto"/>
        <w:rPr>
          <w:rFonts w:ascii="Arial" w:hAnsi="Arial" w:cs="Arial"/>
        </w:rPr>
      </w:pPr>
      <w:r w:rsidRPr="00D20E03">
        <w:rPr>
          <w:rFonts w:ascii="Arial" w:hAnsi="Arial" w:cs="Arial"/>
          <w:b/>
          <w:bCs/>
        </w:rPr>
        <w:t xml:space="preserve">Supplementary Figure 2. </w:t>
      </w:r>
      <w:r w:rsidRPr="00D20E03">
        <w:rPr>
          <w:rFonts w:ascii="Arial" w:hAnsi="Arial" w:cs="Arial"/>
        </w:rPr>
        <w:t>Generation of Bcl2l13 and Bnip3 knockout ESCs by CRISPR-Cas9 system. (</w:t>
      </w:r>
      <w:r w:rsidRPr="00D20E03">
        <w:rPr>
          <w:rFonts w:ascii="Arial" w:hAnsi="Arial" w:cs="Arial"/>
          <w:b/>
          <w:bCs/>
        </w:rPr>
        <w:t>A</w:t>
      </w:r>
      <w:r w:rsidRPr="00D20E03">
        <w:rPr>
          <w:rFonts w:ascii="Arial" w:hAnsi="Arial" w:cs="Arial"/>
        </w:rPr>
        <w:t>) Schematic of Cas/sgRNA-targeting sites in Bcl2l13 genome loci. (</w:t>
      </w:r>
      <w:r w:rsidRPr="00D20E03">
        <w:rPr>
          <w:rFonts w:ascii="Arial" w:hAnsi="Arial" w:cs="Arial"/>
          <w:b/>
          <w:bCs/>
        </w:rPr>
        <w:t>B</w:t>
      </w:r>
      <w:r w:rsidRPr="00D20E03">
        <w:rPr>
          <w:rFonts w:ascii="Arial" w:hAnsi="Arial" w:cs="Arial"/>
        </w:rPr>
        <w:t>) Western blot to identify the knockout of Bcl2l13. (</w:t>
      </w:r>
      <w:r w:rsidRPr="00D20E03">
        <w:rPr>
          <w:rFonts w:ascii="Arial" w:hAnsi="Arial" w:cs="Arial"/>
          <w:b/>
          <w:bCs/>
        </w:rPr>
        <w:t>C</w:t>
      </w:r>
      <w:r w:rsidRPr="00D20E03">
        <w:rPr>
          <w:rFonts w:ascii="Arial" w:hAnsi="Arial" w:cs="Arial"/>
        </w:rPr>
        <w:t>) Schematic of Cas/sgRNA-targeting sites in Bnip3 genome loci. (</w:t>
      </w:r>
      <w:r w:rsidRPr="00D20E03">
        <w:rPr>
          <w:rFonts w:ascii="Arial" w:hAnsi="Arial" w:cs="Arial"/>
          <w:b/>
          <w:bCs/>
        </w:rPr>
        <w:t>D</w:t>
      </w:r>
      <w:r w:rsidRPr="00D20E03">
        <w:rPr>
          <w:rFonts w:ascii="Arial" w:hAnsi="Arial" w:cs="Arial"/>
        </w:rPr>
        <w:t>) Western blot to identify the knockout of Bnip3.</w:t>
      </w:r>
    </w:p>
    <w:p w:rsidR="008824CB" w:rsidRDefault="008824CB" w:rsidP="008824CB">
      <w:pPr>
        <w:spacing w:line="480" w:lineRule="auto"/>
        <w:rPr>
          <w:rFonts w:ascii="Arial" w:hAnsi="Arial" w:cs="Arial"/>
        </w:rPr>
      </w:pPr>
    </w:p>
    <w:p w:rsidR="008824CB" w:rsidRPr="00D20E03" w:rsidRDefault="008824CB" w:rsidP="008824CB">
      <w:pPr>
        <w:spacing w:line="480" w:lineRule="auto"/>
        <w:rPr>
          <w:rFonts w:ascii="Arial" w:hAnsi="Arial" w:cs="Arial"/>
        </w:rPr>
      </w:pPr>
      <w:r w:rsidRPr="00D20E03">
        <w:rPr>
          <w:rFonts w:ascii="Arial" w:hAnsi="Arial" w:cs="Arial"/>
          <w:b/>
          <w:bCs/>
        </w:rPr>
        <w:t xml:space="preserve">Supplementary Figure 3. </w:t>
      </w:r>
      <w:r w:rsidRPr="00D20E03">
        <w:rPr>
          <w:rFonts w:ascii="Arial" w:hAnsi="Arial" w:cs="Arial"/>
        </w:rPr>
        <w:t>Deletion of Bnip3 did not affect mitochondrial fission and glycolysis in ESCs. (</w:t>
      </w:r>
      <w:r w:rsidRPr="00D20E03">
        <w:rPr>
          <w:rFonts w:ascii="Arial" w:hAnsi="Arial" w:cs="Arial"/>
          <w:b/>
          <w:bCs/>
        </w:rPr>
        <w:t>A</w:t>
      </w:r>
      <w:r w:rsidRPr="00D20E03">
        <w:rPr>
          <w:rFonts w:ascii="Arial" w:hAnsi="Arial" w:cs="Arial"/>
        </w:rPr>
        <w:t>) Real-time PCR of mitochondrial fission related genes in WT and Bnip3</w:t>
      </w:r>
      <w:r w:rsidRPr="00D20E03">
        <w:rPr>
          <w:rFonts w:ascii="Arial" w:hAnsi="Arial" w:cs="Arial"/>
          <w:vertAlign w:val="superscript"/>
        </w:rPr>
        <w:t xml:space="preserve">-/- </w:t>
      </w:r>
      <w:r w:rsidRPr="00D20E03">
        <w:rPr>
          <w:rFonts w:ascii="Arial" w:hAnsi="Arial" w:cs="Arial"/>
        </w:rPr>
        <w:t>ESCs. (</w:t>
      </w:r>
      <w:r w:rsidRPr="00D20E03">
        <w:rPr>
          <w:rFonts w:ascii="Arial" w:hAnsi="Arial" w:cs="Arial"/>
          <w:b/>
          <w:bCs/>
        </w:rPr>
        <w:t>B</w:t>
      </w:r>
      <w:r w:rsidRPr="00D20E03">
        <w:rPr>
          <w:rFonts w:ascii="Arial" w:hAnsi="Arial" w:cs="Arial"/>
        </w:rPr>
        <w:t>) Western blot of mitochondrial fission related gene expression in WT and Bnip3</w:t>
      </w:r>
      <w:r w:rsidRPr="00D20E03">
        <w:rPr>
          <w:rFonts w:ascii="Arial" w:hAnsi="Arial" w:cs="Arial"/>
          <w:vertAlign w:val="superscript"/>
        </w:rPr>
        <w:t xml:space="preserve">-/- </w:t>
      </w:r>
      <w:r w:rsidRPr="00D20E03">
        <w:rPr>
          <w:rFonts w:ascii="Arial" w:hAnsi="Arial" w:cs="Arial"/>
        </w:rPr>
        <w:t>ESCs. Quantifications of each protein expression were shown (*P &lt; 0.05, n = 3) The loading control was TIM23. (</w:t>
      </w:r>
      <w:r w:rsidRPr="00D20E03">
        <w:rPr>
          <w:rFonts w:ascii="Arial" w:hAnsi="Arial" w:cs="Arial"/>
          <w:b/>
          <w:bCs/>
        </w:rPr>
        <w:t>C</w:t>
      </w:r>
      <w:r w:rsidRPr="00D20E03">
        <w:rPr>
          <w:rFonts w:ascii="Arial" w:hAnsi="Arial" w:cs="Arial"/>
        </w:rPr>
        <w:t xml:space="preserve">) Extracellular acidification rate (ECAR) of WT and </w:t>
      </w:r>
      <w:r w:rsidRPr="00D20E03">
        <w:rPr>
          <w:rFonts w:ascii="Arial" w:hAnsi="Arial" w:cs="Arial"/>
        </w:rPr>
        <w:lastRenderedPageBreak/>
        <w:t>Bnip3</w:t>
      </w:r>
      <w:r w:rsidRPr="00D20E03">
        <w:rPr>
          <w:rFonts w:ascii="Arial" w:hAnsi="Arial" w:cs="Arial"/>
          <w:vertAlign w:val="superscript"/>
        </w:rPr>
        <w:t xml:space="preserve">-/- </w:t>
      </w:r>
      <w:r w:rsidRPr="00D20E03">
        <w:rPr>
          <w:rFonts w:ascii="Arial" w:hAnsi="Arial" w:cs="Arial"/>
        </w:rPr>
        <w:t>ESCs treated sequentially with glucose, oligomycin and 2-DG.</w:t>
      </w:r>
    </w:p>
    <w:p w:rsidR="008824CB" w:rsidRPr="00D20E03" w:rsidRDefault="008824CB" w:rsidP="008824CB">
      <w:pPr>
        <w:spacing w:line="480" w:lineRule="auto"/>
        <w:rPr>
          <w:rFonts w:ascii="Arial" w:hAnsi="Arial" w:cs="Arial"/>
        </w:rPr>
      </w:pPr>
    </w:p>
    <w:p w:rsidR="008824CB" w:rsidRPr="00D20E03" w:rsidRDefault="008824CB" w:rsidP="008824CB">
      <w:pPr>
        <w:spacing w:line="480" w:lineRule="auto"/>
        <w:rPr>
          <w:rFonts w:ascii="Arial" w:hAnsi="Arial" w:cs="Arial"/>
        </w:rPr>
      </w:pPr>
      <w:r w:rsidRPr="00D20E03">
        <w:rPr>
          <w:rFonts w:ascii="Arial" w:hAnsi="Arial" w:cs="Arial"/>
          <w:b/>
          <w:bCs/>
        </w:rPr>
        <w:t xml:space="preserve">Supplementary Figure 4. </w:t>
      </w:r>
      <w:r w:rsidRPr="00D20E03">
        <w:rPr>
          <w:rFonts w:ascii="Arial" w:hAnsi="Arial" w:cs="Arial"/>
        </w:rPr>
        <w:t>Somatic cell reprogramming induces mitochondrial autophagy. (</w:t>
      </w:r>
      <w:r w:rsidRPr="00D20E03">
        <w:rPr>
          <w:rFonts w:ascii="Arial" w:hAnsi="Arial" w:cs="Arial"/>
          <w:b/>
          <w:bCs/>
        </w:rPr>
        <w:t>A</w:t>
      </w:r>
      <w:r w:rsidRPr="00D20E03">
        <w:rPr>
          <w:rFonts w:ascii="Arial" w:hAnsi="Arial" w:cs="Arial"/>
        </w:rPr>
        <w:t>) Schematic diagram of the somatic cell reprogramming protocol. (</w:t>
      </w:r>
      <w:r w:rsidRPr="00D20E03">
        <w:rPr>
          <w:rFonts w:ascii="Arial" w:hAnsi="Arial" w:cs="Arial"/>
          <w:b/>
          <w:bCs/>
        </w:rPr>
        <w:t>B</w:t>
      </w:r>
      <w:r w:rsidRPr="00D20E03">
        <w:rPr>
          <w:rFonts w:ascii="Arial" w:hAnsi="Arial" w:cs="Arial"/>
        </w:rPr>
        <w:t>) Mito-mass gradually decreased during reprograming. Ctrl; cells without reprograming; R cell: cells undergoing reprogramming; Fluorescence of Mito-RFP cells was detected at indicated reprogramming days. (</w:t>
      </w:r>
      <w:r w:rsidRPr="00D20E03">
        <w:rPr>
          <w:rFonts w:ascii="Arial" w:hAnsi="Arial" w:cs="Arial"/>
          <w:b/>
          <w:bCs/>
        </w:rPr>
        <w:t>C</w:t>
      </w:r>
      <w:r w:rsidRPr="00D20E03">
        <w:rPr>
          <w:rFonts w:ascii="Arial" w:hAnsi="Arial" w:cs="Arial"/>
        </w:rPr>
        <w:t>) Fluorescence intensity of mitochondria in reprograming. The data were record of (</w:t>
      </w:r>
      <w:r w:rsidRPr="00D20E03">
        <w:rPr>
          <w:rFonts w:ascii="Arial" w:hAnsi="Arial" w:cs="Arial"/>
          <w:b/>
          <w:bCs/>
        </w:rPr>
        <w:t>B</w:t>
      </w:r>
      <w:r w:rsidRPr="00D20E03">
        <w:rPr>
          <w:rFonts w:ascii="Arial" w:hAnsi="Arial" w:cs="Arial"/>
        </w:rPr>
        <w:t>). (</w:t>
      </w:r>
      <w:r w:rsidRPr="00D20E03">
        <w:rPr>
          <w:rFonts w:ascii="Arial" w:hAnsi="Arial" w:cs="Arial"/>
          <w:b/>
          <w:bCs/>
        </w:rPr>
        <w:t>D</w:t>
      </w:r>
      <w:r w:rsidRPr="00D20E03">
        <w:rPr>
          <w:rFonts w:ascii="Arial" w:hAnsi="Arial" w:cs="Arial"/>
        </w:rPr>
        <w:t>) Reprogramming induced mitochondrial autophagy. Blue: DAPI; Red: Mitochondria; Green: LC3. Mito-RFP LC3-GFP MEF were used for monitoring mitochondrial autophagy at reprogramming day 2. Co-localizations of mitochondria and LC3 were counted in 50 cells. Data shown as mean ± SD, n=3; **, P&lt;0.01; Student’s t-test. (</w:t>
      </w:r>
      <w:r w:rsidRPr="00D20E03">
        <w:rPr>
          <w:rFonts w:ascii="Arial" w:hAnsi="Arial" w:cs="Arial"/>
          <w:b/>
          <w:bCs/>
        </w:rPr>
        <w:t>E</w:t>
      </w:r>
      <w:r w:rsidRPr="00D20E03">
        <w:rPr>
          <w:rFonts w:ascii="Arial" w:hAnsi="Arial" w:cs="Arial"/>
        </w:rPr>
        <w:t>) Monitoring mitochondrial autophagy during reprogramming by mito-Keima system. Keima(Ex.440nm): mitochondria in neutral pH environment; Keima(Ex.590nm): mitochondria in acidic pH environment; the acidic puncta were counted in 50 cells. Data shown as mean ± SD, n=3; **, P&lt;0.01; Student’s t-test. (</w:t>
      </w:r>
      <w:r w:rsidRPr="00D20E03">
        <w:rPr>
          <w:rFonts w:ascii="Arial" w:hAnsi="Arial" w:cs="Arial"/>
          <w:b/>
          <w:bCs/>
        </w:rPr>
        <w:t>F</w:t>
      </w:r>
      <w:r w:rsidRPr="00D20E03">
        <w:rPr>
          <w:rFonts w:ascii="Arial" w:hAnsi="Arial" w:cs="Arial"/>
        </w:rPr>
        <w:t>) The representative transmission electronic microscopy pictures of autophagic mitochondria at reprogramming day 2.</w:t>
      </w:r>
    </w:p>
    <w:p w:rsidR="008824CB" w:rsidRDefault="008824CB" w:rsidP="008824CB">
      <w:pPr>
        <w:spacing w:line="480" w:lineRule="auto"/>
        <w:rPr>
          <w:rFonts w:ascii="Arial" w:hAnsi="Arial" w:cs="Arial"/>
        </w:rPr>
      </w:pPr>
    </w:p>
    <w:p w:rsidR="008824CB" w:rsidRDefault="008824CB" w:rsidP="008824CB">
      <w:pPr>
        <w:spacing w:line="480" w:lineRule="auto"/>
        <w:rPr>
          <w:rFonts w:ascii="Arial" w:hAnsi="Arial" w:cs="Arial"/>
        </w:rPr>
      </w:pPr>
      <w:r w:rsidRPr="006A6C4D">
        <w:rPr>
          <w:rFonts w:ascii="Arial" w:hAnsi="Arial" w:cs="Arial"/>
          <w:b/>
          <w:bCs/>
        </w:rPr>
        <w:t xml:space="preserve">Supplementary Figure 5. </w:t>
      </w:r>
      <w:r w:rsidRPr="006A6C4D">
        <w:rPr>
          <w:rFonts w:ascii="Arial" w:hAnsi="Arial" w:cs="Arial"/>
        </w:rPr>
        <w:t>Characterization of iPSCs. (</w:t>
      </w:r>
      <w:r w:rsidRPr="008219E4">
        <w:rPr>
          <w:rFonts w:ascii="Arial" w:hAnsi="Arial" w:cs="Arial"/>
        </w:rPr>
        <w:t>A</w:t>
      </w:r>
      <w:r w:rsidRPr="006A6C4D">
        <w:rPr>
          <w:rFonts w:ascii="Arial" w:hAnsi="Arial" w:cs="Arial"/>
        </w:rPr>
        <w:t>) Phase</w:t>
      </w:r>
      <w:r w:rsidRPr="008219E4">
        <w:rPr>
          <w:rFonts w:ascii="Arial" w:hAnsi="Arial" w:cs="Arial" w:hint="eastAsia"/>
        </w:rPr>
        <w:t>‐</w:t>
      </w:r>
      <w:r w:rsidRPr="006A6C4D">
        <w:rPr>
          <w:rFonts w:ascii="Arial" w:hAnsi="Arial" w:cs="Arial"/>
        </w:rPr>
        <w:t>contrast microphotograph image of cells on reprogramming day 0, day 4,day 8 and day 12.  (</w:t>
      </w:r>
      <w:r w:rsidRPr="006A6C4D">
        <w:rPr>
          <w:rFonts w:ascii="Arial" w:hAnsi="Arial" w:cs="Arial"/>
          <w:b/>
          <w:bCs/>
        </w:rPr>
        <w:t>B</w:t>
      </w:r>
      <w:r w:rsidRPr="006A6C4D">
        <w:rPr>
          <w:rFonts w:ascii="Arial" w:hAnsi="Arial" w:cs="Arial"/>
        </w:rPr>
        <w:t>) Karyotype of iPSCs. The number of chromosome is 40. (</w:t>
      </w:r>
      <w:r w:rsidRPr="006A6C4D">
        <w:rPr>
          <w:rFonts w:ascii="Arial" w:hAnsi="Arial" w:cs="Arial"/>
          <w:b/>
          <w:bCs/>
        </w:rPr>
        <w:t>C</w:t>
      </w:r>
      <w:r w:rsidRPr="006A6C4D">
        <w:rPr>
          <w:rFonts w:ascii="Arial" w:hAnsi="Arial" w:cs="Arial"/>
        </w:rPr>
        <w:t>) iPSCs are SSEA-1 positive. (</w:t>
      </w:r>
      <w:r w:rsidRPr="006A6C4D">
        <w:rPr>
          <w:rFonts w:ascii="Arial" w:hAnsi="Arial" w:cs="Arial"/>
          <w:b/>
          <w:bCs/>
        </w:rPr>
        <w:t>D</w:t>
      </w:r>
      <w:r w:rsidRPr="006A6C4D">
        <w:rPr>
          <w:rFonts w:ascii="Arial" w:hAnsi="Arial" w:cs="Arial"/>
        </w:rPr>
        <w:t>) Pluripotent gene expression of iPSCs are similar to ESCs. (</w:t>
      </w:r>
      <w:r w:rsidRPr="006A6C4D">
        <w:rPr>
          <w:rFonts w:ascii="Arial" w:hAnsi="Arial" w:cs="Arial"/>
          <w:b/>
          <w:bCs/>
        </w:rPr>
        <w:t>E</w:t>
      </w:r>
      <w:r w:rsidRPr="006A6C4D">
        <w:rPr>
          <w:rFonts w:ascii="Arial" w:hAnsi="Arial" w:cs="Arial"/>
        </w:rPr>
        <w:t>) HE staining on iPSC formed teratoma. (</w:t>
      </w:r>
      <w:r w:rsidRPr="006A6C4D">
        <w:rPr>
          <w:rFonts w:ascii="Arial" w:hAnsi="Arial" w:cs="Arial"/>
          <w:b/>
          <w:bCs/>
        </w:rPr>
        <w:t>F</w:t>
      </w:r>
      <w:r w:rsidRPr="006A6C4D">
        <w:rPr>
          <w:rFonts w:ascii="Arial" w:hAnsi="Arial" w:cs="Arial"/>
        </w:rPr>
        <w:t>) Chimera mice generated from iPSCs.</w:t>
      </w:r>
    </w:p>
    <w:p w:rsidR="008824CB" w:rsidRPr="006A6C4D" w:rsidRDefault="008824CB" w:rsidP="008824CB">
      <w:pPr>
        <w:spacing w:line="480" w:lineRule="auto"/>
        <w:rPr>
          <w:rFonts w:ascii="Arial" w:hAnsi="Arial" w:cs="Arial"/>
        </w:rPr>
      </w:pPr>
    </w:p>
    <w:p w:rsidR="008824CB" w:rsidRPr="006A6C4D" w:rsidRDefault="008824CB" w:rsidP="008824CB">
      <w:pPr>
        <w:spacing w:line="480" w:lineRule="auto"/>
        <w:rPr>
          <w:rFonts w:ascii="Arial" w:hAnsi="Arial" w:cs="Arial"/>
        </w:rPr>
      </w:pPr>
      <w:r w:rsidRPr="006A6C4D">
        <w:rPr>
          <w:rFonts w:ascii="Arial" w:hAnsi="Arial" w:cs="Arial"/>
          <w:b/>
          <w:bCs/>
        </w:rPr>
        <w:t xml:space="preserve">Supplementary Figure 6. </w:t>
      </w:r>
      <w:r w:rsidRPr="006A6C4D">
        <w:rPr>
          <w:rFonts w:ascii="Arial" w:hAnsi="Arial" w:cs="Arial"/>
        </w:rPr>
        <w:t>Screening of mitophagy receptor required for reprogramming. (</w:t>
      </w:r>
      <w:r w:rsidRPr="006A6C4D">
        <w:rPr>
          <w:rFonts w:ascii="Arial" w:hAnsi="Arial" w:cs="Arial"/>
          <w:b/>
          <w:bCs/>
        </w:rPr>
        <w:t>A</w:t>
      </w:r>
      <w:r w:rsidRPr="006A6C4D">
        <w:rPr>
          <w:rFonts w:ascii="Arial" w:hAnsi="Arial" w:cs="Arial"/>
        </w:rPr>
        <w:t>) Western blot of WT and Fundc1 KO MEF. (</w:t>
      </w:r>
      <w:r w:rsidRPr="006A6C4D">
        <w:rPr>
          <w:rFonts w:ascii="Arial" w:hAnsi="Arial" w:cs="Arial"/>
          <w:b/>
          <w:bCs/>
        </w:rPr>
        <w:t>B</w:t>
      </w:r>
      <w:r w:rsidRPr="006A6C4D">
        <w:rPr>
          <w:rFonts w:ascii="Arial" w:hAnsi="Arial" w:cs="Arial"/>
        </w:rPr>
        <w:t xml:space="preserve">) Deletion of Fundc1 did not affect reprogramming. </w:t>
      </w:r>
      <w:r w:rsidRPr="006A6C4D">
        <w:rPr>
          <w:rFonts w:ascii="Arial" w:hAnsi="Arial" w:cs="Arial" w:hint="eastAsia"/>
        </w:rPr>
        <w:t>NS</w:t>
      </w:r>
      <w:r w:rsidRPr="006A6C4D">
        <w:rPr>
          <w:rFonts w:ascii="Arial" w:hAnsi="Arial" w:cs="Arial"/>
        </w:rPr>
        <w:t>, no significant difference.  (</w:t>
      </w:r>
      <w:r w:rsidRPr="006A6C4D">
        <w:rPr>
          <w:rFonts w:ascii="Arial" w:hAnsi="Arial" w:cs="Arial"/>
          <w:b/>
          <w:bCs/>
        </w:rPr>
        <w:t>C</w:t>
      </w:r>
      <w:r w:rsidRPr="006A6C4D">
        <w:rPr>
          <w:rFonts w:ascii="Arial" w:hAnsi="Arial" w:cs="Arial"/>
        </w:rPr>
        <w:t>) Western blot of WT and Nix KO MEF. (</w:t>
      </w:r>
      <w:r w:rsidRPr="006A6C4D">
        <w:rPr>
          <w:rFonts w:ascii="Arial" w:hAnsi="Arial" w:cs="Arial"/>
          <w:b/>
          <w:bCs/>
        </w:rPr>
        <w:t>D</w:t>
      </w:r>
      <w:r w:rsidRPr="006A6C4D">
        <w:rPr>
          <w:rFonts w:ascii="Arial" w:hAnsi="Arial" w:cs="Arial"/>
        </w:rPr>
        <w:t xml:space="preserve">) Deletion of Nix does not affect reprogramming. </w:t>
      </w:r>
      <w:r w:rsidRPr="006A6C4D">
        <w:rPr>
          <w:rFonts w:ascii="Arial" w:hAnsi="Arial" w:cs="Arial" w:hint="eastAsia"/>
        </w:rPr>
        <w:t>NS</w:t>
      </w:r>
      <w:r w:rsidRPr="006A6C4D">
        <w:rPr>
          <w:rFonts w:ascii="Arial" w:hAnsi="Arial" w:cs="Arial"/>
        </w:rPr>
        <w:t>, no significant difference. (</w:t>
      </w:r>
      <w:r w:rsidRPr="006A6C4D">
        <w:rPr>
          <w:rFonts w:ascii="Arial" w:hAnsi="Arial" w:cs="Arial"/>
          <w:b/>
          <w:bCs/>
        </w:rPr>
        <w:t>E</w:t>
      </w:r>
      <w:r w:rsidRPr="006A6C4D">
        <w:rPr>
          <w:rFonts w:ascii="Arial" w:hAnsi="Arial" w:cs="Arial"/>
        </w:rPr>
        <w:t>) Western blot of Bcl2l13 knockdown MEF. (</w:t>
      </w:r>
      <w:r w:rsidRPr="006A6C4D">
        <w:rPr>
          <w:rFonts w:ascii="Arial" w:hAnsi="Arial" w:cs="Arial"/>
          <w:b/>
          <w:bCs/>
        </w:rPr>
        <w:t>F</w:t>
      </w:r>
      <w:r w:rsidRPr="006A6C4D">
        <w:rPr>
          <w:rFonts w:ascii="Arial" w:hAnsi="Arial" w:cs="Arial"/>
        </w:rPr>
        <w:t xml:space="preserve">) Knockdown of Bcl2l13 did not affect reprogramming. </w:t>
      </w:r>
      <w:r w:rsidRPr="006A6C4D">
        <w:rPr>
          <w:rFonts w:ascii="Arial" w:hAnsi="Arial" w:cs="Arial" w:hint="eastAsia"/>
        </w:rPr>
        <w:t>NS</w:t>
      </w:r>
      <w:r w:rsidRPr="006A6C4D">
        <w:rPr>
          <w:rFonts w:ascii="Arial" w:hAnsi="Arial" w:cs="Arial"/>
        </w:rPr>
        <w:t>, no significant difference. (</w:t>
      </w:r>
      <w:r w:rsidRPr="006A6C4D">
        <w:rPr>
          <w:rFonts w:ascii="Arial" w:hAnsi="Arial" w:cs="Arial"/>
          <w:b/>
          <w:bCs/>
        </w:rPr>
        <w:t>G</w:t>
      </w:r>
      <w:r w:rsidRPr="006A6C4D">
        <w:rPr>
          <w:rFonts w:ascii="Arial" w:hAnsi="Arial" w:cs="Arial"/>
        </w:rPr>
        <w:t>) Western blot of Bnip3 knockdown MEF. (</w:t>
      </w:r>
      <w:r w:rsidRPr="006A6C4D">
        <w:rPr>
          <w:rFonts w:ascii="Arial" w:hAnsi="Arial" w:cs="Arial"/>
          <w:b/>
          <w:bCs/>
        </w:rPr>
        <w:t>H</w:t>
      </w:r>
      <w:r w:rsidRPr="006A6C4D">
        <w:rPr>
          <w:rFonts w:ascii="Arial" w:hAnsi="Arial" w:cs="Arial"/>
        </w:rPr>
        <w:t xml:space="preserve">) Knockdown of Bnip3 significantly decreased reprogramming efficiency. </w:t>
      </w:r>
      <w:r w:rsidRPr="006A6C4D">
        <w:rPr>
          <w:rFonts w:ascii="Arial" w:hAnsi="Arial" w:cs="Arial" w:hint="eastAsia"/>
        </w:rPr>
        <w:t xml:space="preserve">Data shown as mean </w:t>
      </w:r>
      <w:r w:rsidRPr="006A6C4D">
        <w:rPr>
          <w:rFonts w:ascii="Arial" w:hAnsi="Arial" w:cs="Arial" w:hint="eastAsia"/>
        </w:rPr>
        <w:t>±</w:t>
      </w:r>
      <w:r w:rsidRPr="006A6C4D">
        <w:rPr>
          <w:rFonts w:ascii="Arial" w:hAnsi="Arial" w:cs="Arial" w:hint="eastAsia"/>
        </w:rPr>
        <w:t xml:space="preserve"> SD, n=3; ***, P&lt;0.001; Student</w:t>
      </w:r>
      <w:r w:rsidRPr="006A6C4D">
        <w:rPr>
          <w:rFonts w:ascii="Arial" w:hAnsi="Arial" w:cs="Arial" w:hint="eastAsia"/>
        </w:rPr>
        <w:t>’</w:t>
      </w:r>
      <w:r w:rsidRPr="006A6C4D">
        <w:rPr>
          <w:rFonts w:ascii="Arial" w:hAnsi="Arial" w:cs="Arial" w:hint="eastAsia"/>
        </w:rPr>
        <w:t>s t-test.</w:t>
      </w:r>
    </w:p>
    <w:p w:rsidR="008824CB" w:rsidRDefault="008824CB" w:rsidP="008824CB">
      <w:pPr>
        <w:spacing w:line="480" w:lineRule="auto"/>
        <w:rPr>
          <w:rFonts w:ascii="Arial" w:hAnsi="Arial" w:cs="Arial"/>
        </w:rPr>
      </w:pPr>
    </w:p>
    <w:p w:rsidR="008824CB" w:rsidRPr="006A6C4D" w:rsidRDefault="008824CB" w:rsidP="008824CB">
      <w:pPr>
        <w:spacing w:line="480" w:lineRule="auto"/>
        <w:rPr>
          <w:rFonts w:ascii="Arial" w:hAnsi="Arial" w:cs="Arial"/>
        </w:rPr>
      </w:pPr>
      <w:r w:rsidRPr="006A6C4D">
        <w:rPr>
          <w:rFonts w:ascii="Arial" w:hAnsi="Arial" w:cs="Arial"/>
          <w:b/>
          <w:bCs/>
        </w:rPr>
        <w:t xml:space="preserve">Supplementary Figure 7. </w:t>
      </w:r>
      <w:r w:rsidRPr="006A6C4D">
        <w:rPr>
          <w:rFonts w:ascii="Arial" w:hAnsi="Arial" w:cs="Arial"/>
        </w:rPr>
        <w:t>Knockdown of Bnip3 causes dysfunctional mitochondrial accumulation leading to defective iPSC identity.  (</w:t>
      </w:r>
      <w:r w:rsidRPr="006A6C4D">
        <w:rPr>
          <w:rFonts w:ascii="Arial" w:hAnsi="Arial" w:cs="Arial"/>
          <w:b/>
          <w:bCs/>
        </w:rPr>
        <w:t>A</w:t>
      </w:r>
      <w:r w:rsidRPr="006A6C4D">
        <w:rPr>
          <w:rFonts w:ascii="Arial" w:hAnsi="Arial" w:cs="Arial"/>
        </w:rPr>
        <w:t>) Real-time PCR of Bnip3 in Scramble and Bnip3 knockdown iPSCs. Data are shown as mean ± SD, n=3; **, P&lt;0.01; Student’s t-test. (</w:t>
      </w:r>
      <w:r w:rsidRPr="006A6C4D">
        <w:rPr>
          <w:rFonts w:ascii="Arial" w:hAnsi="Arial" w:cs="Arial"/>
          <w:b/>
          <w:bCs/>
        </w:rPr>
        <w:t>B</w:t>
      </w:r>
      <w:r w:rsidRPr="006A6C4D">
        <w:rPr>
          <w:rFonts w:ascii="Arial" w:hAnsi="Arial" w:cs="Arial"/>
        </w:rPr>
        <w:t>) Knockdown of Bnip3 during reprogramming results in increased Mito-mass in established iPSCs. Data are shown as mean ± SD, n=3; **, P&lt;0.01; Student’s t-test. (</w:t>
      </w:r>
      <w:r w:rsidRPr="006A6C4D">
        <w:rPr>
          <w:rFonts w:ascii="Arial" w:hAnsi="Arial" w:cs="Arial"/>
          <w:b/>
          <w:bCs/>
        </w:rPr>
        <w:t>C</w:t>
      </w:r>
      <w:r w:rsidRPr="006A6C4D">
        <w:rPr>
          <w:rFonts w:ascii="Arial" w:hAnsi="Arial" w:cs="Arial"/>
        </w:rPr>
        <w:t>) Knockdown of Bnip3 during reprogramming results in decreased mitochondrial membrane potential in established iPSCs. Data are shown as mean ± SD, n=3; *, P&lt;0.05; Student’s t-test. (</w:t>
      </w:r>
      <w:r w:rsidRPr="006A6C4D">
        <w:rPr>
          <w:rFonts w:ascii="Arial" w:hAnsi="Arial" w:cs="Arial"/>
          <w:b/>
          <w:bCs/>
        </w:rPr>
        <w:t>D</w:t>
      </w:r>
      <w:r w:rsidRPr="006A6C4D">
        <w:rPr>
          <w:rFonts w:ascii="Arial" w:hAnsi="Arial" w:cs="Arial"/>
        </w:rPr>
        <w:t>) Enhanced ROS was observed in Bnip3 knockdown iPSCs. Data are shown as mean ± SD, n=3; *, P&lt;0.05; Student’s t-test. (</w:t>
      </w:r>
      <w:r w:rsidRPr="006A6C4D">
        <w:rPr>
          <w:rFonts w:ascii="Arial" w:hAnsi="Arial" w:cs="Arial"/>
          <w:b/>
          <w:bCs/>
        </w:rPr>
        <w:t>E</w:t>
      </w:r>
      <w:r w:rsidRPr="006A6C4D">
        <w:rPr>
          <w:rFonts w:ascii="Arial" w:hAnsi="Arial" w:cs="Arial"/>
        </w:rPr>
        <w:t>) Decreased ATP content was observed in Bnip3 knockdown iPSCs. Data are shown as mean ± SD, n=3; **, P&lt;0.01; Student’s t-test. (</w:t>
      </w:r>
      <w:r w:rsidRPr="006A6C4D">
        <w:rPr>
          <w:rFonts w:ascii="Arial" w:hAnsi="Arial" w:cs="Arial"/>
          <w:b/>
          <w:bCs/>
        </w:rPr>
        <w:t>F</w:t>
      </w:r>
      <w:r w:rsidRPr="006A6C4D">
        <w:rPr>
          <w:rFonts w:ascii="Arial" w:hAnsi="Arial" w:cs="Arial"/>
        </w:rPr>
        <w:t>) Pluripotency gene expression in Scramble and Bnip3 knockdown iPSCs. Data are shown as mean ± SD, n=3; *, P&lt;0.05; Student’s t-test.</w:t>
      </w:r>
      <w:r w:rsidR="00122E38">
        <w:rPr>
          <w:rFonts w:ascii="Arial" w:hAnsi="Arial" w:cs="Arial"/>
        </w:rPr>
        <w:t xml:space="preserve"> </w:t>
      </w:r>
      <w:bookmarkStart w:id="0" w:name="_GoBack"/>
      <w:bookmarkEnd w:id="0"/>
      <w:r w:rsidRPr="006A6C4D">
        <w:rPr>
          <w:rFonts w:ascii="Arial" w:hAnsi="Arial" w:cs="Arial"/>
        </w:rPr>
        <w:t>(</w:t>
      </w:r>
      <w:r w:rsidRPr="006A6C4D">
        <w:rPr>
          <w:rFonts w:ascii="Arial" w:hAnsi="Arial" w:cs="Arial"/>
          <w:b/>
          <w:bCs/>
        </w:rPr>
        <w:t>G</w:t>
      </w:r>
      <w:r w:rsidRPr="006A6C4D">
        <w:rPr>
          <w:rFonts w:ascii="Arial" w:hAnsi="Arial" w:cs="Arial"/>
        </w:rPr>
        <w:t xml:space="preserve">) Teratoma from Scramble and </w:t>
      </w:r>
      <w:r w:rsidRPr="006A6C4D">
        <w:rPr>
          <w:rFonts w:ascii="Arial" w:hAnsi="Arial" w:cs="Arial"/>
        </w:rPr>
        <w:lastRenderedPageBreak/>
        <w:t>Bnip3 knockdown iPSCs.</w:t>
      </w:r>
    </w:p>
    <w:p w:rsidR="008824CB" w:rsidRPr="003628BE" w:rsidRDefault="008824CB" w:rsidP="008824CB">
      <w:pPr>
        <w:spacing w:line="480" w:lineRule="auto"/>
        <w:rPr>
          <w:rFonts w:ascii="Arial" w:eastAsia="Arial Unicode MS" w:hAnsi="Arial" w:cstheme="minorHAnsi"/>
        </w:rPr>
      </w:pPr>
    </w:p>
    <w:p w:rsidR="009002E1" w:rsidRPr="008824CB" w:rsidRDefault="009002E1"/>
    <w:sectPr w:rsidR="009002E1" w:rsidRPr="008824CB" w:rsidSect="008824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1CE" w:rsidRDefault="008501CE" w:rsidP="008824CB">
      <w:r>
        <w:separator/>
      </w:r>
    </w:p>
  </w:endnote>
  <w:endnote w:type="continuationSeparator" w:id="0">
    <w:p w:rsidR="008501CE" w:rsidRDefault="008501CE" w:rsidP="0088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1CE" w:rsidRDefault="008501CE" w:rsidP="008824CB">
      <w:r>
        <w:separator/>
      </w:r>
    </w:p>
  </w:footnote>
  <w:footnote w:type="continuationSeparator" w:id="0">
    <w:p w:rsidR="008501CE" w:rsidRDefault="008501CE" w:rsidP="00882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783"/>
    <w:rsid w:val="00122E38"/>
    <w:rsid w:val="00202783"/>
    <w:rsid w:val="008501CE"/>
    <w:rsid w:val="008824CB"/>
    <w:rsid w:val="009002E1"/>
    <w:rsid w:val="00ED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358D9A"/>
  <w15:chartTrackingRefBased/>
  <w15:docId w15:val="{A94F70BC-841D-40CA-ABBD-CB688CBC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4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24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24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24CB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882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739</Words>
  <Characters>4217</Characters>
  <Application>Microsoft Office Word</Application>
  <DocSecurity>0</DocSecurity>
  <Lines>35</Lines>
  <Paragraphs>9</Paragraphs>
  <ScaleCrop>false</ScaleCrop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刘坤</dc:creator>
  <cp:keywords/>
  <dc:description/>
  <cp:lastModifiedBy>刘坤</cp:lastModifiedBy>
  <cp:revision>3</cp:revision>
  <dcterms:created xsi:type="dcterms:W3CDTF">2022-03-27T11:31:00Z</dcterms:created>
  <dcterms:modified xsi:type="dcterms:W3CDTF">2022-03-27T13:21:00Z</dcterms:modified>
</cp:coreProperties>
</file>