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Cs/>
          <w:sz w:val="24"/>
        </w:rPr>
        <w:t>Supplementary Table 1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rimer sequences</w:t>
      </w:r>
      <w:r>
        <w:rPr>
          <w:rFonts w:hint="eastAsia" w:ascii="Times New Roman" w:hAnsi="Times New Roman" w:cs="Times New Roman"/>
          <w:sz w:val="24"/>
        </w:rPr>
        <w:t xml:space="preserve"> for </w:t>
      </w:r>
      <w:r>
        <w:rPr>
          <w:rFonts w:ascii="Times New Roman" w:hAnsi="Times New Roman" w:cs="Times New Roman"/>
          <w:sz w:val="24"/>
        </w:rPr>
        <w:t>RT-qPCR</w:t>
      </w:r>
    </w:p>
    <w:tbl>
      <w:tblPr>
        <w:tblStyle w:val="5"/>
        <w:tblW w:w="985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72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Target</w:t>
            </w:r>
          </w:p>
        </w:tc>
        <w:tc>
          <w:tcPr>
            <w:tcW w:w="727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Sequences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miR-139-5p</w:t>
            </w: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5’-CGACGCGTCCCTCTTCCCATTCCTTC-3’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U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</w:rPr>
              <w:t>iversal Reverse Primer (miScript II RT Kit)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U6</w:t>
            </w: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5’-CGCTTCGGCAGCACATA-3’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5’-Universal Reverse Primer (miScript II RT Kit)-3’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KIF3A</w:t>
            </w: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5’-TCCCGTTCCCATGCCATCTT-3’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5’-GCTTCCTTTAGGCGCTGTCC-3’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β-actin</w:t>
            </w: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5’-AGCGAGCATCCCCCAAAGTT-3’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272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: </w:t>
            </w:r>
            <w:r>
              <w:rPr>
                <w:rFonts w:ascii="Times New Roman" w:hAnsi="Times New Roman" w:eastAsia="宋体" w:cs="Times New Roman"/>
                <w:sz w:val="24"/>
              </w:rPr>
              <w:t>5’-GGGCACGAAGGCTCATCATT-3’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tcBorders>
              <w:bottom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000FF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cel-miR-39</w:t>
            </w:r>
          </w:p>
        </w:tc>
        <w:tc>
          <w:tcPr>
            <w:tcW w:w="7272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F: </w:t>
            </w:r>
            <w:r>
              <w:rPr>
                <w:rFonts w:ascii="Times New Roman" w:hAnsi="Times New Roman" w:eastAsia="宋体" w:cs="Times New Roman"/>
                <w:sz w:val="24"/>
              </w:rPr>
              <w:t>5’-GGTCACCGGGTGTAAATCAGCTTG-3’</w:t>
            </w:r>
          </w:p>
          <w:p>
            <w:pPr>
              <w:pStyle w:val="2"/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 Universal Reverse Primer (miScript II RT Kit)</w:t>
            </w:r>
          </w:p>
        </w:tc>
      </w:tr>
    </w:tbl>
    <w:p>
      <w:pPr>
        <w:pStyle w:val="2"/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Note: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miR-139-5p, microRNA-139-5p; U6, U6 snRNA; KIF3A, kinesin family member 3a; β-actin, Beta-actin; cel-miR-39, cel-microRNA-39; </w:t>
      </w:r>
      <w:r>
        <w:rPr>
          <w:rFonts w:ascii="Times New Roman" w:hAnsi="Times New Roman" w:eastAsia="等线" w:cs="Times New Roman"/>
          <w:sz w:val="24"/>
          <w:szCs w:val="24"/>
        </w:rPr>
        <w:t>F, forward; R, reverse.</w:t>
      </w:r>
    </w:p>
    <w:p>
      <w:pPr>
        <w:pStyle w:val="2"/>
        <w:adjustRightInd w:val="0"/>
        <w:snapToGrid w:val="0"/>
        <w:spacing w:after="0"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>
      <w:pPr>
        <w:pStyle w:val="2"/>
        <w:adjustRightInd w:val="0"/>
        <w:snapToGrid w:val="0"/>
        <w:spacing w:after="0" w:line="480" w:lineRule="auto"/>
        <w:rPr>
          <w:rFonts w:hint="eastAsia" w:ascii="Arial" w:hAnsi="Arial" w:cs="Arial" w:eastAsiaTheme="minorEastAsia"/>
          <w:b/>
          <w:bCs/>
          <w:sz w:val="24"/>
          <w:szCs w:val="24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6235065" cy="2942590"/>
            <wp:effectExtent l="0" t="0" r="3810" b="635"/>
            <wp:docPr id="6" name="图片 6" descr="new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new 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djustRightInd w:val="0"/>
        <w:snapToGrid w:val="0"/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Supplementary Fig.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eastAsia"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dentification of BMSCs and BMSCs</w:t>
      </w:r>
      <w:r>
        <w:rPr>
          <w:rFonts w:hint="eastAsia"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EVs. A, The morphological characteristics of BMSCs and their osteogenic, adipogenic, and chondrogenic differentiation observed under an optical microscope. </w:t>
      </w:r>
      <w:r>
        <w:rPr>
          <w:rFonts w:hint="eastAsia" w:ascii="Arial" w:hAnsi="Arial" w:eastAsia="等线" w:cs="Arial"/>
          <w:sz w:val="24"/>
          <w:szCs w:val="24"/>
        </w:rPr>
        <w:t xml:space="preserve">Scale bar: 25 </w:t>
      </w:r>
      <w:r>
        <w:rPr>
          <w:rFonts w:ascii="Arial" w:hAnsi="Arial" w:eastAsia="宋体" w:cs="Arial"/>
          <w:bCs/>
          <w:kern w:val="0"/>
          <w:sz w:val="24"/>
          <w:szCs w:val="24"/>
        </w:rPr>
        <w:t>μ</w:t>
      </w:r>
      <w:r>
        <w:rPr>
          <w:rFonts w:hint="eastAsia" w:ascii="Arial" w:hAnsi="Arial" w:eastAsia="宋体" w:cs="Arial"/>
          <w:bCs/>
          <w:kern w:val="0"/>
          <w:sz w:val="24"/>
          <w:szCs w:val="24"/>
        </w:rPr>
        <w:t xml:space="preserve">m. </w:t>
      </w:r>
      <w:r>
        <w:rPr>
          <w:rFonts w:ascii="Arial" w:hAnsi="Arial" w:cs="Arial"/>
          <w:sz w:val="24"/>
          <w:szCs w:val="24"/>
        </w:rPr>
        <w:t>B, The morphological characteristics of BMSCs</w:t>
      </w:r>
      <w:r>
        <w:rPr>
          <w:rFonts w:hint="eastAsia"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EVs observed under a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TEM. C, Particle size</w:t>
      </w:r>
      <w:r>
        <w:rPr>
          <w:rFonts w:hint="eastAsia" w:ascii="Arial" w:hAnsi="Arial" w:cs="Arial"/>
          <w:sz w:val="24"/>
          <w:szCs w:val="24"/>
        </w:rPr>
        <w:t xml:space="preserve"> of the </w:t>
      </w:r>
      <w:r>
        <w:rPr>
          <w:rFonts w:ascii="Arial" w:hAnsi="Arial" w:cs="Arial"/>
          <w:sz w:val="24"/>
          <w:szCs w:val="24"/>
        </w:rPr>
        <w:t>BMSCs</w:t>
      </w:r>
      <w:r>
        <w:rPr>
          <w:rFonts w:hint="eastAsia"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EVs analyzed</w:t>
      </w:r>
      <w:r>
        <w:rPr>
          <w:rFonts w:hint="eastAsia" w:ascii="Arial" w:hAnsi="Arial" w:cs="Arial"/>
          <w:sz w:val="24"/>
          <w:szCs w:val="24"/>
        </w:rPr>
        <w:t xml:space="preserve"> by NTA</w:t>
      </w:r>
      <w:r>
        <w:rPr>
          <w:rFonts w:ascii="Arial" w:hAnsi="Arial" w:cs="Arial"/>
          <w:sz w:val="24"/>
          <w:szCs w:val="24"/>
        </w:rPr>
        <w:t>. D, The expression of EV</w:t>
      </w:r>
      <w:r>
        <w:rPr>
          <w:rFonts w:hint="eastAsia" w:ascii="Arial" w:hAnsi="Arial" w:cs="Arial"/>
          <w:sz w:val="24"/>
          <w:szCs w:val="24"/>
        </w:rPr>
        <w:t xml:space="preserve"> surface marker proteins in the </w:t>
      </w:r>
      <w:r>
        <w:rPr>
          <w:rFonts w:ascii="Arial" w:hAnsi="Arial" w:cs="Arial"/>
          <w:sz w:val="24"/>
          <w:szCs w:val="24"/>
        </w:rPr>
        <w:t>BMSCs</w:t>
      </w:r>
      <w:r>
        <w:rPr>
          <w:rFonts w:hint="eastAsia"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EVs examined by western blot analysis.</w:t>
      </w:r>
      <w:r>
        <w:rPr>
          <w:rFonts w:ascii="Arial" w:hAnsi="Arial" w:eastAsia="等线" w:cs="Arial"/>
          <w:sz w:val="24"/>
          <w:szCs w:val="24"/>
        </w:rPr>
        <w:t xml:space="preserve"> The </w:t>
      </w:r>
      <w:r>
        <w:rPr>
          <w:rFonts w:hint="eastAsia" w:ascii="Arial" w:hAnsi="Arial" w:eastAsia="等线" w:cs="Arial"/>
          <w:sz w:val="24"/>
          <w:szCs w:val="24"/>
        </w:rPr>
        <w:t xml:space="preserve">cell </w:t>
      </w:r>
      <w:r>
        <w:rPr>
          <w:rFonts w:ascii="Arial" w:hAnsi="Arial" w:eastAsia="等线" w:cs="Arial"/>
          <w:sz w:val="24"/>
          <w:szCs w:val="24"/>
        </w:rPr>
        <w:t>experiment was repeated three times</w:t>
      </w:r>
      <w:r>
        <w:rPr>
          <w:rFonts w:hint="eastAsia" w:ascii="Arial" w:hAnsi="Arial" w:eastAsia="等线" w:cs="Arial"/>
          <w:sz w:val="24"/>
          <w:szCs w:val="24"/>
        </w:rPr>
        <w:t xml:space="preserve"> independently.</w:t>
      </w:r>
    </w:p>
    <w:p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>
      <w:pPr>
        <w:pStyle w:val="2"/>
        <w:adjustRightInd w:val="0"/>
        <w:snapToGrid w:val="0"/>
        <w:spacing w:after="0" w:line="480" w:lineRule="auto"/>
        <w:rPr>
          <w:rFonts w:hint="eastAsia" w:ascii="Arial" w:hAnsi="Arial" w:cs="Arial" w:eastAsiaTheme="minorEastAsia"/>
          <w:b/>
          <w:bCs/>
          <w:sz w:val="24"/>
          <w:szCs w:val="24"/>
          <w:lang w:eastAsia="zh-CN"/>
        </w:rPr>
      </w:pPr>
      <w:r>
        <w:rPr>
          <w:rFonts w:hint="eastAsia" w:ascii="Arial" w:hAnsi="Arial" w:cs="Arial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6235065" cy="4718050"/>
            <wp:effectExtent l="0" t="0" r="3810" b="6350"/>
            <wp:docPr id="7" name="图片 7" descr="new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ew 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djustRightInd w:val="0"/>
        <w:snapToGrid w:val="0"/>
        <w:spacing w:after="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  <w:szCs w:val="24"/>
        </w:rPr>
        <w:t>Supplementary Fig. 2</w:t>
      </w:r>
      <w:r>
        <w:rPr>
          <w:rFonts w:ascii="Arial" w:hAnsi="Arial" w:cs="Arial"/>
          <w:sz w:val="24"/>
          <w:szCs w:val="24"/>
        </w:rPr>
        <w:t xml:space="preserve"> BMSCs</w:t>
      </w:r>
      <w:r>
        <w:rPr>
          <w:rFonts w:hint="eastAsia"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EVs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inhibit the </w:t>
      </w:r>
      <w:r>
        <w:rPr>
          <w:rFonts w:ascii="Arial" w:hAnsi="Arial" w:eastAsia="等线" w:cs="Arial"/>
          <w:sz w:val="24"/>
          <w:szCs w:val="24"/>
        </w:rPr>
        <w:t xml:space="preserve">proliferation, migration and invasion of </w:t>
      </w:r>
      <w:r>
        <w:rPr>
          <w:rFonts w:ascii="Arial" w:hAnsi="Arial" w:cs="Arial"/>
          <w:sz w:val="24"/>
          <w:szCs w:val="24"/>
        </w:rPr>
        <w:t>BOY-12E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cells while </w:t>
      </w:r>
      <w:r>
        <w:rPr>
          <w:rFonts w:hint="eastAsia" w:ascii="Arial" w:hAnsi="Arial" w:eastAsia="等线" w:cs="Arial"/>
          <w:sz w:val="24"/>
          <w:szCs w:val="24"/>
        </w:rPr>
        <w:t xml:space="preserve">inducing </w:t>
      </w:r>
      <w:r>
        <w:rPr>
          <w:rFonts w:ascii="Arial" w:hAnsi="Arial" w:eastAsia="等线" w:cs="Arial"/>
          <w:sz w:val="24"/>
          <w:szCs w:val="24"/>
        </w:rPr>
        <w:t>their apoptosis</w:t>
      </w:r>
      <w:r>
        <w:rPr>
          <w:rFonts w:ascii="Arial" w:hAnsi="Arial" w:cs="Arial"/>
          <w:sz w:val="24"/>
          <w:szCs w:val="24"/>
        </w:rPr>
        <w:t xml:space="preserve">. A. </w:t>
      </w:r>
      <w:r>
        <w:rPr>
          <w:rFonts w:ascii="Arial" w:hAnsi="Arial" w:eastAsia="等线" w:cs="Arial"/>
          <w:sz w:val="24"/>
          <w:szCs w:val="24"/>
        </w:rPr>
        <w:t>The</w:t>
      </w:r>
      <w:r>
        <w:rPr>
          <w:rFonts w:hint="eastAsia" w:ascii="Arial" w:hAnsi="Arial" w:eastAsia="等线" w:cs="Arial"/>
          <w:sz w:val="24"/>
          <w:szCs w:val="24"/>
        </w:rPr>
        <w:t xml:space="preserve"> uptake of </w:t>
      </w:r>
      <w:r>
        <w:rPr>
          <w:rFonts w:ascii="Arial" w:hAnsi="Arial" w:eastAsia="等线" w:cs="Arial"/>
          <w:sz w:val="24"/>
          <w:szCs w:val="24"/>
        </w:rPr>
        <w:t>EVs labeled with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>PKH67</w:t>
      </w:r>
      <w:r>
        <w:rPr>
          <w:rFonts w:hint="eastAsia" w:ascii="Arial" w:hAnsi="Arial" w:eastAsia="等线" w:cs="Arial"/>
          <w:sz w:val="24"/>
          <w:szCs w:val="24"/>
        </w:rPr>
        <w:t xml:space="preserve"> (</w:t>
      </w:r>
      <w:r>
        <w:rPr>
          <w:rFonts w:ascii="Arial" w:hAnsi="Arial" w:eastAsia="等线" w:cs="Arial"/>
          <w:sz w:val="24"/>
          <w:szCs w:val="24"/>
        </w:rPr>
        <w:t>green fluorescence</w:t>
      </w:r>
      <w:r>
        <w:rPr>
          <w:rFonts w:hint="eastAsia" w:ascii="Arial" w:hAnsi="Arial" w:eastAsia="等线" w:cs="Arial"/>
          <w:sz w:val="24"/>
          <w:szCs w:val="24"/>
        </w:rPr>
        <w:t>)</w:t>
      </w:r>
      <w:r>
        <w:rPr>
          <w:rFonts w:ascii="Arial" w:hAnsi="Arial" w:eastAsia="等线" w:cs="Arial"/>
          <w:sz w:val="24"/>
          <w:szCs w:val="24"/>
        </w:rPr>
        <w:t xml:space="preserve"> </w:t>
      </w:r>
      <w:r>
        <w:rPr>
          <w:rFonts w:hint="eastAsia" w:ascii="Arial" w:hAnsi="Arial" w:eastAsia="等线" w:cs="Arial"/>
          <w:sz w:val="24"/>
          <w:szCs w:val="24"/>
        </w:rPr>
        <w:t xml:space="preserve">by the </w:t>
      </w:r>
      <w:r>
        <w:rPr>
          <w:rFonts w:ascii="Arial" w:hAnsi="Arial" w:cs="Arial"/>
          <w:sz w:val="24"/>
          <w:szCs w:val="24"/>
        </w:rPr>
        <w:t>BOY-12E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>cells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>analyzed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using </w:t>
      </w:r>
      <w:r>
        <w:rPr>
          <w:rFonts w:hint="eastAsia" w:ascii="Arial" w:hAnsi="Arial" w:eastAsia="等线" w:cs="Arial"/>
          <w:sz w:val="24"/>
          <w:szCs w:val="24"/>
        </w:rPr>
        <w:t xml:space="preserve">a </w:t>
      </w:r>
      <w:r>
        <w:rPr>
          <w:rFonts w:ascii="Arial" w:hAnsi="Arial" w:eastAsia="等线" w:cs="Arial"/>
          <w:sz w:val="24"/>
          <w:szCs w:val="24"/>
        </w:rPr>
        <w:t>fluorescence microscope. DAPI stained nucleus is blue</w:t>
      </w:r>
      <w:r>
        <w:rPr>
          <w:rFonts w:hint="eastAsia" w:ascii="Arial" w:hAnsi="Arial" w:eastAsia="等线" w:cs="Arial"/>
          <w:sz w:val="24"/>
          <w:szCs w:val="24"/>
        </w:rPr>
        <w:t>.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hint="eastAsia" w:ascii="Arial" w:hAnsi="Arial" w:eastAsia="等线" w:cs="Arial"/>
          <w:sz w:val="24"/>
          <w:szCs w:val="24"/>
        </w:rPr>
        <w:t xml:space="preserve">Scale bar: 25 </w:t>
      </w:r>
      <w:r>
        <w:rPr>
          <w:rFonts w:ascii="Arial" w:hAnsi="Arial" w:eastAsia="宋体" w:cs="Arial"/>
          <w:bCs/>
          <w:kern w:val="0"/>
          <w:sz w:val="24"/>
          <w:szCs w:val="24"/>
        </w:rPr>
        <w:t>μ</w:t>
      </w:r>
      <w:r>
        <w:rPr>
          <w:rFonts w:hint="eastAsia" w:ascii="Arial" w:hAnsi="Arial" w:eastAsia="宋体" w:cs="Arial"/>
          <w:bCs/>
          <w:kern w:val="0"/>
          <w:sz w:val="24"/>
          <w:szCs w:val="24"/>
        </w:rPr>
        <w:t xml:space="preserve">m. </w:t>
      </w:r>
      <w:r>
        <w:rPr>
          <w:rFonts w:ascii="Arial" w:hAnsi="Arial" w:cs="Arial"/>
          <w:sz w:val="24"/>
          <w:szCs w:val="24"/>
        </w:rPr>
        <w:t>B, The proliferation of BOY-12E cells co-culture</w:t>
      </w:r>
      <w:r>
        <w:rPr>
          <w:rFonts w:hint="eastAsia" w:ascii="Arial" w:hAnsi="Arial" w:cs="Arial"/>
          <w:sz w:val="24"/>
          <w:szCs w:val="24"/>
        </w:rPr>
        <w:t xml:space="preserve">d with </w:t>
      </w:r>
      <w:r>
        <w:rPr>
          <w:rFonts w:ascii="Arial" w:hAnsi="Arial" w:cs="Arial"/>
          <w:sz w:val="24"/>
          <w:szCs w:val="24"/>
        </w:rPr>
        <w:t>different concentrations of EVs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examined by CCK-8. C, The migration and invasion of BOY-12E cells co-culture</w:t>
      </w:r>
      <w:r>
        <w:rPr>
          <w:rFonts w:hint="eastAsia" w:ascii="Arial" w:hAnsi="Arial" w:cs="Arial"/>
          <w:sz w:val="24"/>
          <w:szCs w:val="24"/>
        </w:rPr>
        <w:t>d with</w:t>
      </w:r>
      <w:r>
        <w:rPr>
          <w:rFonts w:ascii="Arial" w:hAnsi="Arial" w:cs="Arial"/>
          <w:sz w:val="24"/>
          <w:szCs w:val="24"/>
        </w:rPr>
        <w:t xml:space="preserve"> different concentrations of EVs with BOY-12E cells tested by Transwell assay. D, The apoptosis of BOY-12E cells co-culture</w:t>
      </w:r>
      <w:r>
        <w:rPr>
          <w:rFonts w:hint="eastAsia" w:ascii="Arial" w:hAnsi="Arial" w:cs="Arial"/>
          <w:sz w:val="24"/>
          <w:szCs w:val="24"/>
        </w:rPr>
        <w:t>d with</w:t>
      </w:r>
      <w:r>
        <w:rPr>
          <w:rFonts w:ascii="Arial" w:hAnsi="Arial" w:cs="Arial"/>
          <w:sz w:val="24"/>
          <w:szCs w:val="24"/>
        </w:rPr>
        <w:t xml:space="preserve"> different concentrations of EVs tested by </w:t>
      </w:r>
      <w:r>
        <w:rPr>
          <w:rFonts w:ascii="Arial" w:hAnsi="Arial" w:eastAsia="宋体" w:cs="Arial"/>
          <w:sz w:val="24"/>
          <w:szCs w:val="24"/>
        </w:rPr>
        <w:t xml:space="preserve">Hoechst 33342/PI staining. E, The expression of apoptosis-related factors </w:t>
      </w:r>
      <w:r>
        <w:rPr>
          <w:rFonts w:hint="eastAsia"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BOY-12E cells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co-culture</w:t>
      </w:r>
      <w:r>
        <w:rPr>
          <w:rFonts w:hint="eastAsia" w:ascii="Arial" w:hAnsi="Arial" w:cs="Arial"/>
          <w:sz w:val="24"/>
          <w:szCs w:val="24"/>
        </w:rPr>
        <w:t xml:space="preserve">d with </w:t>
      </w:r>
      <w:r>
        <w:rPr>
          <w:rFonts w:ascii="Arial" w:hAnsi="Arial" w:cs="Arial"/>
          <w:sz w:val="24"/>
          <w:szCs w:val="24"/>
        </w:rPr>
        <w:t>different concentrations of EVs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tested by w</w:t>
      </w:r>
      <w:r>
        <w:rPr>
          <w:rFonts w:ascii="Arial" w:hAnsi="Arial" w:eastAsia="宋体" w:cs="Arial"/>
          <w:sz w:val="24"/>
          <w:szCs w:val="24"/>
        </w:rPr>
        <w:t xml:space="preserve">estern blot analysis. </w:t>
      </w:r>
      <w:r>
        <w:rPr>
          <w:rFonts w:ascii="Arial" w:hAnsi="Arial" w:cs="Arial"/>
          <w:color w:val="000000"/>
          <w:sz w:val="24"/>
          <w:szCs w:val="24"/>
        </w:rPr>
        <w:t xml:space="preserve">Measurement data were expressed </w:t>
      </w:r>
      <w:r>
        <w:rPr>
          <w:rFonts w:hint="eastAsia" w:ascii="Arial" w:hAnsi="Arial" w:cs="Arial"/>
          <w:color w:val="000000"/>
          <w:sz w:val="24"/>
          <w:szCs w:val="24"/>
        </w:rPr>
        <w:t>as</w:t>
      </w:r>
      <w:r>
        <w:rPr>
          <w:rFonts w:ascii="Arial" w:hAnsi="Arial" w:cs="Arial"/>
          <w:color w:val="000000"/>
          <w:sz w:val="24"/>
          <w:szCs w:val="24"/>
        </w:rPr>
        <w:t xml:space="preserve"> mean ± standard deviation. </w:t>
      </w:r>
      <w:r>
        <w:rPr>
          <w:rFonts w:ascii="Arial" w:hAnsi="Arial" w:eastAsia="宋体" w:cs="Arial"/>
          <w:kern w:val="0"/>
          <w:sz w:val="24"/>
        </w:rPr>
        <w:t xml:space="preserve">Paired </w:t>
      </w:r>
      <w:r>
        <w:rPr>
          <w:rFonts w:ascii="Arial" w:hAnsi="Arial" w:eastAsia="宋体" w:cs="Arial"/>
          <w:i/>
          <w:iCs/>
          <w:kern w:val="0"/>
          <w:sz w:val="24"/>
        </w:rPr>
        <w:t>t</w:t>
      </w:r>
      <w:r>
        <w:rPr>
          <w:rFonts w:ascii="Arial" w:hAnsi="Arial" w:eastAsia="宋体" w:cs="Arial"/>
          <w:kern w:val="0"/>
          <w:sz w:val="24"/>
        </w:rPr>
        <w:t xml:space="preserve"> test was conducted to compare </w:t>
      </w:r>
      <w:r>
        <w:rPr>
          <w:rFonts w:hint="eastAsia" w:ascii="Arial" w:hAnsi="Arial" w:eastAsia="宋体" w:cs="Arial"/>
          <w:kern w:val="0"/>
          <w:sz w:val="24"/>
        </w:rPr>
        <w:t>data</w:t>
      </w:r>
      <w:r>
        <w:rPr>
          <w:rFonts w:ascii="Arial" w:hAnsi="Arial" w:eastAsia="宋体" w:cs="Arial"/>
          <w:kern w:val="0"/>
          <w:sz w:val="24"/>
        </w:rPr>
        <w:t xml:space="preserve"> </w:t>
      </w:r>
      <w:r>
        <w:rPr>
          <w:rFonts w:hint="eastAsia" w:ascii="Arial" w:hAnsi="Arial" w:eastAsia="宋体" w:cs="Arial"/>
          <w:kern w:val="0"/>
          <w:sz w:val="24"/>
        </w:rPr>
        <w:t xml:space="preserve">between </w:t>
      </w:r>
      <w:r>
        <w:rPr>
          <w:rFonts w:ascii="Arial" w:hAnsi="Arial" w:eastAsia="宋体" w:cs="Arial"/>
          <w:kern w:val="0"/>
          <w:sz w:val="24"/>
        </w:rPr>
        <w:t xml:space="preserve">the cancer tissues and </w:t>
      </w:r>
      <w:r>
        <w:rPr>
          <w:rFonts w:hint="eastAsia" w:ascii="Arial" w:hAnsi="Arial" w:eastAsia="宋体" w:cs="Arial"/>
          <w:kern w:val="0"/>
          <w:sz w:val="24"/>
        </w:rPr>
        <w:t>adjacent normal</w:t>
      </w:r>
      <w:r>
        <w:rPr>
          <w:rFonts w:ascii="Arial" w:hAnsi="Arial" w:eastAsia="宋体" w:cs="Arial"/>
          <w:kern w:val="0"/>
          <w:sz w:val="24"/>
        </w:rPr>
        <w:t xml:space="preserve"> tissues.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0.05</w:t>
      </w:r>
      <w:r>
        <w:rPr>
          <w:rFonts w:hint="eastAsia"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i/>
          <w:sz w:val="24"/>
        </w:rPr>
        <w:t xml:space="preserve"> </w:t>
      </w:r>
      <w:r>
        <w:rPr>
          <w:rFonts w:ascii="Arial" w:hAnsi="Arial" w:cs="Arial"/>
          <w:sz w:val="24"/>
        </w:rPr>
        <w:t>&lt; 0.01</w:t>
      </w:r>
      <w:r>
        <w:rPr>
          <w:rFonts w:ascii="Arial" w:hAnsi="Arial" w:cs="Arial"/>
          <w:sz w:val="24"/>
          <w:szCs w:val="24"/>
        </w:rPr>
        <w:t>,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0.001</w:t>
      </w:r>
      <w:r>
        <w:rPr>
          <w:rFonts w:hint="eastAsia" w:ascii="Arial" w:hAnsi="Arial" w:cs="Arial"/>
          <w:sz w:val="24"/>
        </w:rPr>
        <w:t xml:space="preserve"> or </w:t>
      </w:r>
      <w:r>
        <w:rPr>
          <w:rFonts w:ascii="Arial" w:hAnsi="Arial" w:cs="Arial"/>
          <w:sz w:val="24"/>
        </w:rPr>
        <w:t>****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0.0001</w:t>
      </w:r>
      <w:r>
        <w:rPr>
          <w:rFonts w:hint="eastAsia" w:ascii="Arial" w:hAnsi="Arial" w:cs="Arial"/>
          <w:sz w:val="24"/>
        </w:rPr>
        <w:t>,</w:t>
      </w:r>
      <w:r>
        <w:rPr>
          <w:rFonts w:ascii="Arial" w:hAnsi="Arial" w:cs="Arial"/>
          <w:i/>
          <w:iCs/>
          <w:sz w:val="24"/>
        </w:rPr>
        <w:t xml:space="preserve"> vs. </w:t>
      </w:r>
      <w:r>
        <w:rPr>
          <w:rFonts w:ascii="Arial" w:hAnsi="Arial" w:cs="Arial"/>
          <w:sz w:val="24"/>
        </w:rPr>
        <w:t>PBS group.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The </w:t>
      </w:r>
      <w:r>
        <w:rPr>
          <w:rFonts w:hint="eastAsia" w:ascii="Arial" w:hAnsi="Arial" w:eastAsia="等线" w:cs="Arial"/>
          <w:sz w:val="24"/>
          <w:szCs w:val="24"/>
        </w:rPr>
        <w:t xml:space="preserve">cell </w:t>
      </w:r>
      <w:r>
        <w:rPr>
          <w:rFonts w:ascii="Arial" w:hAnsi="Arial" w:eastAsia="等线" w:cs="Arial"/>
          <w:sz w:val="24"/>
          <w:szCs w:val="24"/>
        </w:rPr>
        <w:t>experiment was repeated three times</w:t>
      </w:r>
      <w:r>
        <w:rPr>
          <w:rFonts w:hint="eastAsia" w:ascii="Arial" w:hAnsi="Arial" w:eastAsia="等线" w:cs="Arial"/>
          <w:sz w:val="24"/>
          <w:szCs w:val="24"/>
        </w:rPr>
        <w:t xml:space="preserve"> independently.</w:t>
      </w:r>
    </w:p>
    <w:p>
      <w:pPr>
        <w:widowControl/>
        <w:jc w:val="left"/>
        <w:rPr>
          <w:rFonts w:ascii="Arial" w:hAnsi="Arial" w:cs="Arial"/>
          <w:b/>
          <w:bCs/>
          <w:sz w:val="24"/>
          <w:szCs w:val="22"/>
        </w:rPr>
      </w:pPr>
      <w:r>
        <w:rPr>
          <w:rFonts w:ascii="Arial" w:hAnsi="Arial" w:cs="Arial"/>
          <w:b/>
          <w:bCs/>
          <w:sz w:val="24"/>
        </w:rPr>
        <w:br w:type="page"/>
      </w:r>
    </w:p>
    <w:p>
      <w:pPr>
        <w:pStyle w:val="2"/>
        <w:adjustRightInd w:val="0"/>
        <w:snapToGrid w:val="0"/>
        <w:spacing w:after="0" w:line="480" w:lineRule="auto"/>
        <w:rPr>
          <w:rFonts w:hint="eastAsia"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drawing>
          <wp:inline distT="0" distB="0" distL="0" distR="0">
            <wp:extent cx="5759450" cy="1931035"/>
            <wp:effectExtent l="0" t="0" r="0" b="0"/>
            <wp:docPr id="3" name="图片 3" descr="D:\2022年3月\修稿\OC-21-014\英文翻译CDD第一次修稿(OC-21-014)-已审核+已换图\Revised Figrues (OC-21-014)\Figure S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2022年3月\修稿\OC-21-014\英文翻译CDD第一次修稿(OC-21-014)-已审核+已换图\Revised Figrues (OC-21-014)\Figure S3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adjustRightInd w:val="0"/>
        <w:snapToGrid w:val="0"/>
        <w:spacing w:after="0" w:line="480" w:lineRule="auto"/>
        <w:rPr>
          <w:rFonts w:ascii="Arial" w:hAnsi="Arial" w:eastAsia="宋体" w:cs="Arial"/>
          <w:sz w:val="24"/>
          <w:szCs w:val="24"/>
        </w:rPr>
      </w:pPr>
      <w:r>
        <w:rPr>
          <w:rFonts w:ascii="Arial" w:hAnsi="Arial" w:cs="Arial"/>
          <w:bCs/>
          <w:sz w:val="24"/>
        </w:rPr>
        <w:t>Supplementary Fig. 3</w:t>
      </w:r>
      <w:r>
        <w:rPr>
          <w:rFonts w:ascii="Arial" w:hAnsi="Arial" w:cs="Arial"/>
          <w:sz w:val="24"/>
        </w:rPr>
        <w:t xml:space="preserve"> miR-139-5p targets KIF3A to inhibit the </w:t>
      </w:r>
      <w:r>
        <w:rPr>
          <w:rFonts w:ascii="Arial" w:hAnsi="Arial" w:eastAsia="等线" w:cs="Arial"/>
          <w:sz w:val="24"/>
          <w:szCs w:val="24"/>
        </w:rPr>
        <w:t xml:space="preserve">proliferation, migration and invasion of </w:t>
      </w:r>
      <w:r>
        <w:rPr>
          <w:rFonts w:ascii="Arial" w:hAnsi="Arial" w:cs="Arial"/>
          <w:sz w:val="24"/>
          <w:szCs w:val="24"/>
        </w:rPr>
        <w:t>BOY-12E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cells while </w:t>
      </w:r>
      <w:r>
        <w:rPr>
          <w:rFonts w:hint="eastAsia" w:ascii="Arial" w:hAnsi="Arial" w:eastAsia="等线" w:cs="Arial"/>
          <w:sz w:val="24"/>
          <w:szCs w:val="24"/>
        </w:rPr>
        <w:t xml:space="preserve">inducing </w:t>
      </w:r>
      <w:r>
        <w:rPr>
          <w:rFonts w:ascii="Arial" w:hAnsi="Arial" w:eastAsia="等线" w:cs="Arial"/>
          <w:sz w:val="24"/>
          <w:szCs w:val="24"/>
        </w:rPr>
        <w:t>their apoptosis</w:t>
      </w:r>
      <w:r>
        <w:rPr>
          <w:rFonts w:ascii="Arial" w:hAnsi="Arial" w:cs="Arial"/>
          <w:sz w:val="24"/>
        </w:rPr>
        <w:t>. A, The proliferation of BOY-12E cells transfected with miR-139-5p mimic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 xml:space="preserve">mbined with </w:t>
      </w:r>
      <w:r>
        <w:rPr>
          <w:rFonts w:ascii="Arial" w:hAnsi="Arial" w:cs="Arial"/>
          <w:sz w:val="24"/>
        </w:rPr>
        <w:t>oe-KIF3A examined by CCK-8. B, The migration and invasion of BOY-12E cells transfected with miR-139-5p mimic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 xml:space="preserve">mbined with </w:t>
      </w:r>
      <w:r>
        <w:rPr>
          <w:rFonts w:ascii="Arial" w:hAnsi="Arial" w:cs="Arial"/>
          <w:sz w:val="24"/>
        </w:rPr>
        <w:t>oe-KIF3A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examined by Transwell assay. C, The apoptosis of BOY-12E cells transfected with miR-139-5p mimic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 xml:space="preserve">mbined with </w:t>
      </w:r>
      <w:r>
        <w:rPr>
          <w:rFonts w:ascii="Arial" w:hAnsi="Arial" w:cs="Arial"/>
          <w:sz w:val="24"/>
        </w:rPr>
        <w:t xml:space="preserve">oe-KIF3A examined by </w:t>
      </w:r>
      <w:r>
        <w:rPr>
          <w:rFonts w:ascii="Arial" w:hAnsi="Arial" w:eastAsia="宋体" w:cs="Arial"/>
          <w:sz w:val="24"/>
          <w:szCs w:val="24"/>
        </w:rPr>
        <w:t xml:space="preserve">Hoechst 33342/PI staining. </w:t>
      </w:r>
      <w:bookmarkStart w:id="0" w:name="OLE_LINK11"/>
      <w:r>
        <w:rPr>
          <w:rFonts w:hint="eastAsia" w:ascii="Arial" w:hAnsi="Arial" w:eastAsia="宋体" w:cs="Arial"/>
          <w:sz w:val="24"/>
          <w:szCs w:val="24"/>
        </w:rPr>
        <w:t>M</w:t>
      </w:r>
      <w:r>
        <w:rPr>
          <w:rFonts w:ascii="Arial" w:hAnsi="Arial" w:eastAsia="宋体" w:cs="Arial"/>
          <w:sz w:val="24"/>
          <w:szCs w:val="24"/>
        </w:rPr>
        <w:t>easurement data were expressed as mean ± standard deviation</w:t>
      </w:r>
      <w:r>
        <w:rPr>
          <w:rFonts w:hint="eastAsia" w:ascii="Arial" w:hAnsi="Arial" w:eastAsia="宋体" w:cs="Arial"/>
          <w:sz w:val="24"/>
          <w:szCs w:val="24"/>
        </w:rPr>
        <w:t xml:space="preserve">. </w:t>
      </w:r>
      <w:r>
        <w:rPr>
          <w:rFonts w:ascii="Arial" w:hAnsi="Arial" w:eastAsia="宋体" w:cs="Arial"/>
          <w:kern w:val="0"/>
          <w:sz w:val="24"/>
        </w:rPr>
        <w:t xml:space="preserve">Unpaired </w:t>
      </w:r>
      <w:r>
        <w:rPr>
          <w:rFonts w:ascii="Arial" w:hAnsi="Arial" w:eastAsia="宋体" w:cs="Arial"/>
          <w:i/>
          <w:iCs/>
          <w:kern w:val="0"/>
          <w:sz w:val="24"/>
        </w:rPr>
        <w:t>t</w:t>
      </w:r>
      <w:r>
        <w:rPr>
          <w:rFonts w:ascii="Arial" w:hAnsi="Arial" w:eastAsia="宋体" w:cs="Arial"/>
          <w:kern w:val="0"/>
          <w:sz w:val="24"/>
        </w:rPr>
        <w:t xml:space="preserve"> test was performed for</w:t>
      </w:r>
      <w:r>
        <w:rPr>
          <w:rFonts w:hint="eastAsia" w:ascii="Arial" w:hAnsi="Arial" w:eastAsia="宋体" w:cs="Arial"/>
          <w:kern w:val="0"/>
          <w:sz w:val="24"/>
        </w:rPr>
        <w:t xml:space="preserve"> two-group data comparison</w:t>
      </w:r>
      <w:r>
        <w:rPr>
          <w:rFonts w:ascii="Arial" w:hAnsi="Arial" w:eastAsia="宋体" w:cs="Arial"/>
          <w:kern w:val="0"/>
          <w:sz w:val="24"/>
        </w:rPr>
        <w:t>. One-way</w:t>
      </w:r>
      <w:r>
        <w:rPr>
          <w:rFonts w:hint="eastAsia" w:ascii="Arial" w:hAnsi="Arial" w:eastAsia="宋体" w:cs="Arial"/>
          <w:kern w:val="0"/>
          <w:sz w:val="24"/>
        </w:rPr>
        <w:t xml:space="preserve"> </w:t>
      </w:r>
      <w:r>
        <w:rPr>
          <w:rFonts w:ascii="Arial" w:hAnsi="Arial" w:eastAsia="宋体" w:cs="Arial"/>
          <w:kern w:val="0"/>
          <w:sz w:val="24"/>
        </w:rPr>
        <w:t>ANOVA</w:t>
      </w:r>
      <w:r>
        <w:rPr>
          <w:rFonts w:hint="eastAsia" w:ascii="Arial" w:hAnsi="Arial" w:eastAsia="宋体" w:cs="Arial"/>
          <w:kern w:val="0"/>
          <w:sz w:val="24"/>
        </w:rPr>
        <w:t xml:space="preserve"> </w:t>
      </w:r>
      <w:r>
        <w:rPr>
          <w:rFonts w:ascii="Arial" w:hAnsi="Arial" w:eastAsia="宋体" w:cs="Arial"/>
          <w:kern w:val="0"/>
          <w:sz w:val="24"/>
        </w:rPr>
        <w:t>was conducted for multi</w:t>
      </w:r>
      <w:r>
        <w:rPr>
          <w:rFonts w:hint="eastAsia" w:ascii="Arial" w:hAnsi="Arial" w:eastAsia="宋体" w:cs="Arial"/>
          <w:kern w:val="0"/>
          <w:sz w:val="24"/>
        </w:rPr>
        <w:t>-</w:t>
      </w:r>
      <w:r>
        <w:rPr>
          <w:rFonts w:ascii="Arial" w:hAnsi="Arial" w:eastAsia="宋体" w:cs="Arial"/>
          <w:kern w:val="0"/>
          <w:sz w:val="24"/>
        </w:rPr>
        <w:t xml:space="preserve">group </w:t>
      </w:r>
      <w:r>
        <w:rPr>
          <w:rFonts w:hint="eastAsia" w:ascii="Arial" w:hAnsi="Arial" w:eastAsia="宋体" w:cs="Arial"/>
          <w:kern w:val="0"/>
          <w:sz w:val="24"/>
        </w:rPr>
        <w:t xml:space="preserve">data </w:t>
      </w:r>
      <w:r>
        <w:rPr>
          <w:rFonts w:ascii="Arial" w:hAnsi="Arial" w:eastAsia="宋体" w:cs="Arial"/>
          <w:kern w:val="0"/>
          <w:sz w:val="24"/>
        </w:rPr>
        <w:t>comparison, followed by Tukey's post hoc test</w:t>
      </w:r>
      <w:r>
        <w:rPr>
          <w:rFonts w:hint="eastAsia" w:ascii="Arial" w:hAnsi="Arial" w:eastAsia="宋体" w:cs="Arial"/>
          <w:kern w:val="0"/>
          <w:sz w:val="24"/>
        </w:rPr>
        <w:t>.</w:t>
      </w:r>
      <w:r>
        <w:rPr>
          <w:rFonts w:ascii="Arial" w:hAnsi="Arial" w:eastAsia="宋体" w:cs="Arial"/>
          <w:sz w:val="24"/>
          <w:szCs w:val="24"/>
        </w:rPr>
        <w:t xml:space="preserve"> *</w:t>
      </w:r>
      <w:r>
        <w:rPr>
          <w:rFonts w:ascii="Arial" w:hAnsi="Arial" w:eastAsia="宋体" w:cs="Arial"/>
          <w:i/>
          <w:iCs/>
          <w:sz w:val="24"/>
          <w:szCs w:val="24"/>
        </w:rPr>
        <w:t>p</w:t>
      </w:r>
      <w:r>
        <w:rPr>
          <w:rFonts w:ascii="Arial" w:hAnsi="Arial" w:eastAsia="宋体" w:cs="Arial"/>
          <w:sz w:val="24"/>
          <w:szCs w:val="24"/>
        </w:rPr>
        <w:t xml:space="preserve"> &lt; 0.05</w:t>
      </w:r>
      <w:r>
        <w:rPr>
          <w:rFonts w:hint="eastAsia"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i/>
          <w:sz w:val="24"/>
        </w:rPr>
        <w:t xml:space="preserve"> </w:t>
      </w:r>
      <w:r>
        <w:rPr>
          <w:rFonts w:ascii="Arial" w:hAnsi="Arial" w:cs="Arial"/>
          <w:sz w:val="24"/>
        </w:rPr>
        <w:t>&lt; 0.01</w:t>
      </w:r>
      <w:r>
        <w:rPr>
          <w:rFonts w:ascii="Arial" w:hAnsi="Arial" w:cs="Arial"/>
          <w:sz w:val="24"/>
          <w:szCs w:val="24"/>
        </w:rPr>
        <w:t>,</w:t>
      </w:r>
      <w:r>
        <w:rPr>
          <w:rFonts w:hint="eastAsia"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0.001</w:t>
      </w:r>
      <w:r>
        <w:rPr>
          <w:rFonts w:hint="eastAsia" w:ascii="Arial" w:hAnsi="Arial" w:cs="Arial"/>
          <w:sz w:val="24"/>
        </w:rPr>
        <w:t xml:space="preserve"> or </w:t>
      </w:r>
      <w:r>
        <w:rPr>
          <w:rFonts w:ascii="Arial" w:hAnsi="Arial" w:cs="Arial"/>
          <w:sz w:val="24"/>
        </w:rPr>
        <w:t>****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0.0001</w:t>
      </w:r>
      <w:r>
        <w:rPr>
          <w:rFonts w:hint="eastAsia" w:ascii="Arial" w:hAnsi="Arial" w:cs="Arial"/>
          <w:sz w:val="24"/>
        </w:rPr>
        <w:t>,</w:t>
      </w:r>
      <w:r>
        <w:rPr>
          <w:rFonts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i/>
          <w:iCs/>
          <w:sz w:val="24"/>
          <w:szCs w:val="24"/>
        </w:rPr>
        <w:t xml:space="preserve">vs. </w:t>
      </w:r>
      <w:bookmarkEnd w:id="0"/>
      <w:r>
        <w:rPr>
          <w:rFonts w:ascii="Arial" w:hAnsi="Arial" w:eastAsia="宋体" w:cs="Arial"/>
          <w:sz w:val="24"/>
          <w:szCs w:val="24"/>
        </w:rPr>
        <w:t>NC mimic group. #</w:t>
      </w:r>
      <w:r>
        <w:rPr>
          <w:rFonts w:ascii="Arial" w:hAnsi="Arial" w:eastAsia="宋体" w:cs="Arial"/>
          <w:i/>
          <w:iCs/>
          <w:sz w:val="24"/>
          <w:szCs w:val="24"/>
        </w:rPr>
        <w:t>p</w:t>
      </w:r>
      <w:r>
        <w:rPr>
          <w:rFonts w:ascii="Arial" w:hAnsi="Arial" w:eastAsia="宋体" w:cs="Arial"/>
          <w:sz w:val="24"/>
          <w:szCs w:val="24"/>
        </w:rPr>
        <w:t xml:space="preserve"> &lt; 0.05</w:t>
      </w:r>
      <w:r>
        <w:rPr>
          <w:rFonts w:hint="eastAsia" w:ascii="Arial" w:hAnsi="Arial" w:eastAsia="宋体" w:cs="Arial"/>
          <w:sz w:val="24"/>
          <w:szCs w:val="24"/>
        </w:rPr>
        <w:t xml:space="preserve">, </w:t>
      </w:r>
      <w:r>
        <w:rPr>
          <w:rFonts w:ascii="Arial" w:hAnsi="Arial" w:eastAsia="宋体" w:cs="Arial"/>
          <w:sz w:val="24"/>
          <w:szCs w:val="24"/>
          <w:vertAlign w:val="superscript"/>
        </w:rPr>
        <w:t>##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0.01</w:t>
      </w:r>
      <w:r>
        <w:rPr>
          <w:rFonts w:ascii="Arial" w:hAnsi="Arial" w:cs="Arial"/>
          <w:sz w:val="24"/>
          <w:szCs w:val="24"/>
        </w:rPr>
        <w:t>,</w:t>
      </w:r>
      <w:r>
        <w:rPr>
          <w:rFonts w:hint="eastAsia" w:ascii="Arial" w:hAnsi="Arial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  <w:vertAlign w:val="superscript"/>
        </w:rPr>
        <w:t>###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0.001</w:t>
      </w:r>
      <w:r>
        <w:rPr>
          <w:rFonts w:ascii="Arial" w:hAnsi="Arial" w:cs="Arial"/>
          <w:sz w:val="24"/>
          <w:szCs w:val="24"/>
        </w:rPr>
        <w:t>,</w:t>
      </w:r>
      <w:r>
        <w:rPr>
          <w:rFonts w:hint="eastAsia" w:ascii="Arial" w:hAnsi="Arial" w:cs="Arial"/>
          <w:sz w:val="24"/>
          <w:szCs w:val="24"/>
        </w:rPr>
        <w:t xml:space="preserve"> or </w:t>
      </w:r>
      <w:r>
        <w:rPr>
          <w:rFonts w:ascii="Arial" w:hAnsi="Arial" w:eastAsia="宋体" w:cs="Arial"/>
          <w:sz w:val="24"/>
          <w:szCs w:val="24"/>
          <w:vertAlign w:val="superscript"/>
        </w:rPr>
        <w:t>####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0.0001</w:t>
      </w:r>
      <w:r>
        <w:rPr>
          <w:rFonts w:hint="eastAsia" w:ascii="Arial" w:hAnsi="Arial" w:eastAsia="宋体" w:cs="Arial"/>
          <w:sz w:val="24"/>
          <w:szCs w:val="24"/>
        </w:rPr>
        <w:t>,</w:t>
      </w:r>
      <w:r>
        <w:rPr>
          <w:rFonts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i/>
          <w:iCs/>
          <w:sz w:val="24"/>
          <w:szCs w:val="24"/>
        </w:rPr>
        <w:t xml:space="preserve">vs. </w:t>
      </w:r>
      <w:r>
        <w:rPr>
          <w:rFonts w:ascii="Arial" w:hAnsi="Arial" w:cs="Arial"/>
          <w:bCs/>
          <w:sz w:val="24"/>
          <w:szCs w:val="32"/>
        </w:rPr>
        <w:t xml:space="preserve">miR-139-5p mimic + </w:t>
      </w:r>
      <w:r>
        <w:rPr>
          <w:rFonts w:ascii="Arial" w:hAnsi="Arial" w:eastAsia="宋体" w:cs="Arial"/>
          <w:sz w:val="24"/>
          <w:szCs w:val="24"/>
        </w:rPr>
        <w:t xml:space="preserve">oe-NC group. The </w:t>
      </w:r>
      <w:r>
        <w:rPr>
          <w:rFonts w:hint="eastAsia" w:ascii="Arial" w:hAnsi="Arial" w:eastAsia="宋体" w:cs="Arial"/>
          <w:sz w:val="24"/>
          <w:szCs w:val="24"/>
        </w:rPr>
        <w:t xml:space="preserve">cell </w:t>
      </w:r>
      <w:r>
        <w:rPr>
          <w:rFonts w:ascii="Arial" w:hAnsi="Arial" w:eastAsia="宋体" w:cs="Arial"/>
          <w:sz w:val="24"/>
          <w:szCs w:val="24"/>
        </w:rPr>
        <w:t>experiment was repeated three times</w:t>
      </w:r>
      <w:r>
        <w:rPr>
          <w:rFonts w:hint="eastAsia" w:ascii="Arial" w:hAnsi="Arial" w:eastAsia="等线" w:cs="Arial"/>
          <w:sz w:val="24"/>
          <w:szCs w:val="24"/>
        </w:rPr>
        <w:t xml:space="preserve"> independently</w:t>
      </w:r>
      <w:r>
        <w:rPr>
          <w:rFonts w:ascii="Arial" w:hAnsi="Arial" w:eastAsia="宋体" w:cs="Arial"/>
          <w:sz w:val="24"/>
          <w:szCs w:val="24"/>
        </w:rPr>
        <w:t xml:space="preserve">. </w:t>
      </w:r>
    </w:p>
    <w:p>
      <w:pPr>
        <w:widowControl/>
        <w:jc w:val="left"/>
        <w:rPr>
          <w:rFonts w:ascii="Arial" w:hAnsi="Arial" w:eastAsia="宋体" w:cs="Arial"/>
          <w:b/>
          <w:bCs/>
          <w:sz w:val="24"/>
        </w:rPr>
      </w:pPr>
      <w:r>
        <w:rPr>
          <w:rFonts w:ascii="Arial" w:hAnsi="Arial" w:eastAsia="宋体" w:cs="Arial"/>
          <w:b/>
          <w:bCs/>
          <w:sz w:val="24"/>
        </w:rPr>
        <w:br w:type="page"/>
      </w:r>
    </w:p>
    <w:p>
      <w:pPr>
        <w:pStyle w:val="2"/>
        <w:adjustRightInd w:val="0"/>
        <w:snapToGrid w:val="0"/>
        <w:spacing w:after="0" w:line="480" w:lineRule="auto"/>
        <w:rPr>
          <w:rFonts w:hint="eastAsia" w:ascii="Arial" w:hAnsi="Arial" w:eastAsia="宋体" w:cs="Arial"/>
          <w:b/>
          <w:bCs/>
          <w:sz w:val="24"/>
          <w:szCs w:val="24"/>
          <w:lang w:eastAsia="zh-CN"/>
        </w:rPr>
      </w:pPr>
      <w:r>
        <w:rPr>
          <w:rFonts w:hint="eastAsia" w:ascii="Arial" w:hAnsi="Arial" w:eastAsia="宋体" w:cs="Arial"/>
          <w:b/>
          <w:bCs/>
          <w:sz w:val="24"/>
          <w:szCs w:val="24"/>
          <w:lang w:eastAsia="zh-CN"/>
        </w:rPr>
        <w:drawing>
          <wp:inline distT="0" distB="0" distL="114300" distR="114300">
            <wp:extent cx="6235065" cy="5171440"/>
            <wp:effectExtent l="0" t="0" r="3810" b="635"/>
            <wp:docPr id="8" name="图片 8" descr="new 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ew 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517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2"/>
        <w:adjustRightInd w:val="0"/>
        <w:snapToGrid w:val="0"/>
        <w:spacing w:after="0" w:line="480" w:lineRule="auto"/>
        <w:rPr>
          <w:rFonts w:ascii="Arial" w:hAnsi="Arial" w:eastAsia="宋体" w:cs="Arial"/>
          <w:sz w:val="24"/>
          <w:szCs w:val="24"/>
        </w:rPr>
      </w:pPr>
      <w:r>
        <w:rPr>
          <w:rFonts w:ascii="Arial" w:hAnsi="Arial" w:eastAsia="宋体" w:cs="Arial"/>
          <w:bCs/>
          <w:sz w:val="24"/>
          <w:szCs w:val="24"/>
        </w:rPr>
        <w:t>Supplementary Fig. 4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 xml:space="preserve">miR-139-5p delivered by BMSCs-EVs down-regulates KIF3A and activates p21 to inhibit the </w:t>
      </w:r>
      <w:r>
        <w:rPr>
          <w:rFonts w:ascii="Arial" w:hAnsi="Arial" w:eastAsia="等线" w:cs="Arial"/>
          <w:sz w:val="24"/>
          <w:szCs w:val="24"/>
        </w:rPr>
        <w:t xml:space="preserve">proliferation, migration and invasion of </w:t>
      </w:r>
      <w:r>
        <w:rPr>
          <w:rFonts w:ascii="Arial" w:hAnsi="Arial" w:cs="Arial"/>
          <w:sz w:val="24"/>
          <w:szCs w:val="24"/>
        </w:rPr>
        <w:t>BOY-12E</w:t>
      </w:r>
      <w:r>
        <w:rPr>
          <w:rFonts w:hint="eastAsia"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cells while </w:t>
      </w:r>
      <w:r>
        <w:rPr>
          <w:rFonts w:hint="eastAsia" w:ascii="Arial" w:hAnsi="Arial" w:eastAsia="等线" w:cs="Arial"/>
          <w:sz w:val="24"/>
          <w:szCs w:val="24"/>
        </w:rPr>
        <w:t xml:space="preserve">inducing </w:t>
      </w:r>
      <w:r>
        <w:rPr>
          <w:rFonts w:ascii="Arial" w:hAnsi="Arial" w:eastAsia="等线" w:cs="Arial"/>
          <w:sz w:val="24"/>
          <w:szCs w:val="24"/>
        </w:rPr>
        <w:t>their apoptosis</w:t>
      </w:r>
      <w:r>
        <w:rPr>
          <w:rFonts w:ascii="Arial" w:hAnsi="Arial" w:eastAsia="宋体" w:cs="Arial"/>
          <w:sz w:val="24"/>
          <w:szCs w:val="24"/>
        </w:rPr>
        <w:t xml:space="preserve">. A. The expression of KIF3A and </w:t>
      </w:r>
      <w:r>
        <w:rPr>
          <w:rFonts w:hint="eastAsia" w:ascii="Arial" w:hAnsi="Arial" w:eastAsia="宋体" w:cs="Arial"/>
          <w:sz w:val="24"/>
          <w:szCs w:val="24"/>
        </w:rPr>
        <w:t xml:space="preserve">the ratio of </w:t>
      </w:r>
      <w:r>
        <w:rPr>
          <w:rFonts w:ascii="Arial" w:hAnsi="Arial" w:eastAsia="宋体" w:cs="Arial"/>
          <w:sz w:val="24"/>
          <w:szCs w:val="24"/>
        </w:rPr>
        <w:t xml:space="preserve">p-p21/p21 </w:t>
      </w:r>
      <w:r>
        <w:rPr>
          <w:rFonts w:hint="eastAsia" w:ascii="Arial" w:hAnsi="Arial" w:eastAsia="宋体" w:cs="Arial"/>
          <w:sz w:val="24"/>
          <w:szCs w:val="24"/>
        </w:rPr>
        <w:t>in</w:t>
      </w:r>
      <w:r>
        <w:rPr>
          <w:rFonts w:ascii="Arial" w:hAnsi="Arial" w:eastAsia="宋体" w:cs="Arial"/>
          <w:sz w:val="24"/>
          <w:szCs w:val="24"/>
        </w:rPr>
        <w:t xml:space="preserve"> BOY-12E cells transfected with miR-139-5p mimic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>mbined with</w:t>
      </w:r>
      <w:r>
        <w:rPr>
          <w:rFonts w:ascii="Arial" w:hAnsi="Arial" w:eastAsia="宋体" w:cs="Arial"/>
          <w:sz w:val="24"/>
          <w:szCs w:val="24"/>
        </w:rPr>
        <w:t xml:space="preserve"> oe-KIF3A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>detected using western blot analysis.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>****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0.0001</w:t>
      </w:r>
      <w:r>
        <w:rPr>
          <w:rFonts w:hint="eastAsia" w:ascii="Arial" w:hAnsi="Arial" w:eastAsia="宋体" w:cs="Arial"/>
          <w:sz w:val="24"/>
          <w:szCs w:val="24"/>
        </w:rPr>
        <w:t xml:space="preserve">, </w:t>
      </w:r>
      <w:r>
        <w:rPr>
          <w:rFonts w:ascii="Arial" w:hAnsi="Arial" w:eastAsia="宋体" w:cs="Arial"/>
          <w:i/>
          <w:iCs/>
          <w:sz w:val="24"/>
          <w:szCs w:val="24"/>
        </w:rPr>
        <w:t xml:space="preserve">vs. </w:t>
      </w:r>
      <w:r>
        <w:rPr>
          <w:rFonts w:ascii="Arial" w:hAnsi="Arial" w:eastAsia="宋体" w:cs="Arial"/>
          <w:bCs/>
          <w:sz w:val="24"/>
          <w:szCs w:val="24"/>
        </w:rPr>
        <w:t>NC mimic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group. </w:t>
      </w:r>
      <w:r>
        <w:rPr>
          <w:rFonts w:ascii="Arial" w:hAnsi="Arial" w:eastAsia="宋体" w:cs="Arial"/>
          <w:bCs/>
          <w:sz w:val="24"/>
          <w:szCs w:val="24"/>
          <w:vertAlign w:val="superscript"/>
        </w:rPr>
        <w:t>##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0.0</w:t>
      </w:r>
      <w:r>
        <w:rPr>
          <w:rFonts w:hint="eastAsia" w:ascii="Arial" w:hAnsi="Arial" w:eastAsia="宋体" w:cs="Arial"/>
          <w:sz w:val="24"/>
          <w:szCs w:val="24"/>
        </w:rPr>
        <w:t>1 or</w:t>
      </w:r>
      <w:r>
        <w:rPr>
          <w:rFonts w:ascii="Arial" w:hAnsi="Arial" w:eastAsia="宋体" w:cs="Arial"/>
          <w:sz w:val="24"/>
          <w:szCs w:val="24"/>
          <w:vertAlign w:val="superscript"/>
        </w:rPr>
        <w:t xml:space="preserve"> ####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0.0001</w:t>
      </w:r>
      <w:r>
        <w:rPr>
          <w:rFonts w:hint="eastAsia" w:ascii="Arial" w:hAnsi="Arial" w:eastAsia="宋体" w:cs="Arial"/>
          <w:sz w:val="24"/>
          <w:szCs w:val="24"/>
        </w:rPr>
        <w:t xml:space="preserve">, </w:t>
      </w:r>
      <w:r>
        <w:rPr>
          <w:rFonts w:ascii="Arial" w:hAnsi="Arial" w:eastAsia="宋体" w:cs="Arial"/>
          <w:i/>
          <w:iCs/>
          <w:sz w:val="24"/>
          <w:szCs w:val="24"/>
        </w:rPr>
        <w:t xml:space="preserve">vs. </w:t>
      </w:r>
      <w:r>
        <w:rPr>
          <w:rFonts w:ascii="Arial" w:hAnsi="Arial" w:eastAsia="宋体" w:cs="Arial"/>
          <w:sz w:val="24"/>
          <w:szCs w:val="24"/>
        </w:rPr>
        <w:t>miR-139-5p</w:t>
      </w:r>
      <w:r>
        <w:rPr>
          <w:rFonts w:ascii="Arial" w:hAnsi="Arial" w:eastAsia="宋体" w:cs="Arial"/>
          <w:bCs/>
          <w:sz w:val="24"/>
          <w:szCs w:val="24"/>
        </w:rPr>
        <w:t xml:space="preserve"> mimic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</w:t>
      </w:r>
      <w:r>
        <w:rPr>
          <w:rFonts w:ascii="Arial" w:hAnsi="Arial" w:eastAsia="宋体" w:cs="Arial"/>
          <w:bCs/>
          <w:sz w:val="24"/>
          <w:szCs w:val="24"/>
        </w:rPr>
        <w:t>+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</w:t>
      </w:r>
      <w:r>
        <w:rPr>
          <w:rFonts w:ascii="Arial" w:hAnsi="Arial" w:eastAsia="宋体" w:cs="Arial"/>
          <w:bCs/>
          <w:sz w:val="24"/>
          <w:szCs w:val="24"/>
        </w:rPr>
        <w:t>oe-NC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group.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 xml:space="preserve">B, </w:t>
      </w:r>
      <w:r>
        <w:rPr>
          <w:rFonts w:hint="eastAsia" w:ascii="Arial" w:hAnsi="Arial" w:eastAsia="宋体" w:cs="Arial"/>
          <w:sz w:val="24"/>
          <w:szCs w:val="24"/>
        </w:rPr>
        <w:t>T</w:t>
      </w:r>
      <w:r>
        <w:rPr>
          <w:rFonts w:ascii="Arial" w:hAnsi="Arial" w:eastAsia="宋体" w:cs="Arial"/>
          <w:sz w:val="24"/>
          <w:szCs w:val="24"/>
        </w:rPr>
        <w:t>ransfection efficiency</w:t>
      </w:r>
      <w:r>
        <w:rPr>
          <w:rFonts w:hint="eastAsia" w:ascii="Arial" w:hAnsi="Arial" w:eastAsia="宋体" w:cs="Arial"/>
          <w:sz w:val="24"/>
          <w:szCs w:val="24"/>
        </w:rPr>
        <w:t xml:space="preserve"> of</w:t>
      </w:r>
      <w:r>
        <w:rPr>
          <w:rFonts w:ascii="Arial" w:hAnsi="Arial" w:eastAsia="宋体" w:cs="Arial"/>
          <w:sz w:val="24"/>
          <w:szCs w:val="24"/>
        </w:rPr>
        <w:t xml:space="preserve"> si-p21 </w:t>
      </w:r>
      <w:r>
        <w:rPr>
          <w:rFonts w:hint="eastAsia" w:ascii="Arial" w:hAnsi="Arial" w:eastAsia="宋体" w:cs="Arial"/>
          <w:sz w:val="24"/>
          <w:szCs w:val="24"/>
        </w:rPr>
        <w:t>in</w:t>
      </w:r>
      <w:r>
        <w:rPr>
          <w:rFonts w:ascii="Arial" w:hAnsi="Arial" w:eastAsia="宋体" w:cs="Arial"/>
          <w:sz w:val="24"/>
          <w:szCs w:val="24"/>
        </w:rPr>
        <w:t xml:space="preserve"> BOY-12E cells detected using western blot analysis. *</w:t>
      </w:r>
      <w:r>
        <w:rPr>
          <w:rFonts w:ascii="Arial" w:hAnsi="Arial" w:eastAsia="宋体" w:cs="Arial"/>
          <w:i/>
          <w:sz w:val="24"/>
          <w:szCs w:val="24"/>
        </w:rPr>
        <w:t xml:space="preserve">p </w:t>
      </w:r>
      <w:r>
        <w:rPr>
          <w:rFonts w:ascii="Arial" w:hAnsi="Arial" w:eastAsia="宋体" w:cs="Arial"/>
          <w:sz w:val="24"/>
          <w:szCs w:val="24"/>
        </w:rPr>
        <w:t>&lt; 0.</w:t>
      </w:r>
      <w:r>
        <w:rPr>
          <w:rFonts w:hint="eastAsia" w:ascii="Arial" w:hAnsi="Arial" w:eastAsia="宋体" w:cs="Arial"/>
          <w:sz w:val="24"/>
          <w:szCs w:val="24"/>
        </w:rPr>
        <w:t xml:space="preserve">05, </w:t>
      </w:r>
      <w:r>
        <w:rPr>
          <w:rFonts w:ascii="Arial" w:hAnsi="Arial" w:eastAsia="宋体" w:cs="Arial"/>
          <w:i/>
          <w:iCs/>
          <w:sz w:val="24"/>
          <w:szCs w:val="24"/>
        </w:rPr>
        <w:t>vs.</w:t>
      </w:r>
      <w:r>
        <w:rPr>
          <w:rFonts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bCs/>
          <w:sz w:val="24"/>
          <w:szCs w:val="24"/>
        </w:rPr>
        <w:t>si-NC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group. </w:t>
      </w:r>
      <w:r>
        <w:rPr>
          <w:rFonts w:ascii="Arial" w:hAnsi="Arial" w:eastAsia="宋体" w:cs="Arial"/>
          <w:sz w:val="24"/>
          <w:szCs w:val="24"/>
        </w:rPr>
        <w:t xml:space="preserve">C, The </w:t>
      </w:r>
      <w:r>
        <w:rPr>
          <w:rFonts w:hint="eastAsia" w:ascii="Arial" w:hAnsi="Arial" w:eastAsia="宋体" w:cs="Arial"/>
          <w:sz w:val="24"/>
          <w:szCs w:val="24"/>
        </w:rPr>
        <w:t>ratio</w:t>
      </w:r>
      <w:r>
        <w:rPr>
          <w:rFonts w:ascii="Arial" w:hAnsi="Arial" w:eastAsia="宋体" w:cs="Arial"/>
          <w:sz w:val="24"/>
          <w:szCs w:val="24"/>
        </w:rPr>
        <w:t xml:space="preserve"> of p-p21/p21 in BOY-12E cells </w:t>
      </w:r>
      <w:r>
        <w:rPr>
          <w:rFonts w:hint="eastAsia" w:ascii="Arial" w:hAnsi="Arial" w:eastAsia="宋体" w:cs="Arial"/>
          <w:sz w:val="24"/>
          <w:szCs w:val="24"/>
        </w:rPr>
        <w:t>treated with EVs-</w:t>
      </w:r>
      <w:r>
        <w:rPr>
          <w:rFonts w:ascii="Arial" w:hAnsi="Arial" w:eastAsia="宋体" w:cs="Arial"/>
          <w:sz w:val="24"/>
          <w:szCs w:val="24"/>
        </w:rPr>
        <w:t>miR-139-5p mimic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>mbined with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>si-p21 examined by western blot analysis. D, The proliferation of BOY-12E cells</w:t>
      </w:r>
      <w:r>
        <w:rPr>
          <w:rFonts w:hint="eastAsia" w:ascii="Arial" w:hAnsi="Arial" w:eastAsia="宋体" w:cs="Arial"/>
          <w:sz w:val="24"/>
          <w:szCs w:val="24"/>
        </w:rPr>
        <w:t xml:space="preserve"> treated with EVs-</w:t>
      </w:r>
      <w:r>
        <w:rPr>
          <w:rFonts w:ascii="Arial" w:hAnsi="Arial" w:eastAsia="宋体" w:cs="Arial"/>
          <w:sz w:val="24"/>
          <w:szCs w:val="24"/>
        </w:rPr>
        <w:t>miR-139-5p mimic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>mbined with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>si-p21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 xml:space="preserve">examined by CCK-8. E, The migration and invasion of BOY-12E cells </w:t>
      </w:r>
      <w:r>
        <w:rPr>
          <w:rFonts w:hint="eastAsia" w:ascii="Arial" w:hAnsi="Arial" w:eastAsia="宋体" w:cs="Arial"/>
          <w:sz w:val="24"/>
          <w:szCs w:val="24"/>
        </w:rPr>
        <w:t>treated with EVs-</w:t>
      </w:r>
      <w:r>
        <w:rPr>
          <w:rFonts w:ascii="Arial" w:hAnsi="Arial" w:eastAsia="宋体" w:cs="Arial"/>
          <w:sz w:val="24"/>
          <w:szCs w:val="24"/>
        </w:rPr>
        <w:t>miR-139-5p mimic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>mbined with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 xml:space="preserve">si-p21 examined by Transwell assay. F, The apoptosis of BOY-12E cells </w:t>
      </w:r>
      <w:r>
        <w:rPr>
          <w:rFonts w:hint="eastAsia" w:ascii="Arial" w:hAnsi="Arial" w:eastAsia="宋体" w:cs="Arial"/>
          <w:sz w:val="24"/>
          <w:szCs w:val="24"/>
        </w:rPr>
        <w:t>treated with EVs-</w:t>
      </w:r>
      <w:r>
        <w:rPr>
          <w:rFonts w:ascii="Arial" w:hAnsi="Arial" w:eastAsia="宋体" w:cs="Arial"/>
          <w:sz w:val="24"/>
          <w:szCs w:val="24"/>
        </w:rPr>
        <w:t>miR-139-5p mimic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or co</w:t>
      </w:r>
      <w:r>
        <w:rPr>
          <w:rFonts w:hint="eastAsia" w:ascii="Arial" w:hAnsi="Arial" w:cs="Arial"/>
          <w:sz w:val="24"/>
        </w:rPr>
        <w:t>mbined with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 xml:space="preserve">si-p21 examined by Hoechst 33342/PI staining. </w:t>
      </w:r>
      <w:r>
        <w:rPr>
          <w:rFonts w:hint="eastAsia" w:ascii="Arial" w:hAnsi="Arial" w:eastAsia="宋体" w:cs="Arial"/>
          <w:sz w:val="24"/>
          <w:szCs w:val="24"/>
        </w:rPr>
        <w:t>M</w:t>
      </w:r>
      <w:r>
        <w:rPr>
          <w:rFonts w:ascii="Arial" w:hAnsi="Arial" w:eastAsia="宋体" w:cs="Arial"/>
          <w:sz w:val="24"/>
          <w:szCs w:val="24"/>
        </w:rPr>
        <w:t>easurement data were expressed as mean ± standard deviation</w:t>
      </w:r>
      <w:r>
        <w:rPr>
          <w:rFonts w:hint="eastAsia" w:ascii="Arial" w:hAnsi="Arial" w:eastAsia="宋体" w:cs="Arial"/>
          <w:sz w:val="24"/>
          <w:szCs w:val="24"/>
        </w:rPr>
        <w:t xml:space="preserve">. </w:t>
      </w:r>
      <w:r>
        <w:rPr>
          <w:rFonts w:ascii="Arial" w:hAnsi="Arial" w:eastAsia="宋体" w:cs="Arial"/>
          <w:kern w:val="0"/>
          <w:sz w:val="24"/>
        </w:rPr>
        <w:t xml:space="preserve">Unpaired </w:t>
      </w:r>
      <w:r>
        <w:rPr>
          <w:rFonts w:ascii="Arial" w:hAnsi="Arial" w:eastAsia="宋体" w:cs="Arial"/>
          <w:i/>
          <w:iCs/>
          <w:kern w:val="0"/>
          <w:sz w:val="24"/>
        </w:rPr>
        <w:t>t</w:t>
      </w:r>
      <w:r>
        <w:rPr>
          <w:rFonts w:ascii="Arial" w:hAnsi="Arial" w:eastAsia="宋体" w:cs="Arial"/>
          <w:kern w:val="0"/>
          <w:sz w:val="24"/>
        </w:rPr>
        <w:t xml:space="preserve"> test was performed for</w:t>
      </w:r>
      <w:r>
        <w:rPr>
          <w:rFonts w:hint="eastAsia" w:ascii="Arial" w:hAnsi="Arial" w:eastAsia="宋体" w:cs="Arial"/>
          <w:kern w:val="0"/>
          <w:sz w:val="24"/>
        </w:rPr>
        <w:t xml:space="preserve"> two-group data comparison</w:t>
      </w:r>
      <w:r>
        <w:rPr>
          <w:rFonts w:ascii="Arial" w:hAnsi="Arial" w:eastAsia="宋体" w:cs="Arial"/>
          <w:kern w:val="0"/>
          <w:sz w:val="24"/>
        </w:rPr>
        <w:t>. One-way</w:t>
      </w:r>
      <w:r>
        <w:rPr>
          <w:rFonts w:hint="eastAsia" w:ascii="Arial" w:hAnsi="Arial" w:eastAsia="宋体" w:cs="Arial"/>
          <w:kern w:val="0"/>
          <w:sz w:val="24"/>
        </w:rPr>
        <w:t xml:space="preserve"> </w:t>
      </w:r>
      <w:r>
        <w:rPr>
          <w:rFonts w:ascii="Arial" w:hAnsi="Arial" w:eastAsia="宋体" w:cs="Arial"/>
          <w:kern w:val="0"/>
          <w:sz w:val="24"/>
        </w:rPr>
        <w:t>ANOVA</w:t>
      </w:r>
      <w:r>
        <w:rPr>
          <w:rFonts w:hint="eastAsia" w:ascii="Arial" w:hAnsi="Arial" w:eastAsia="宋体" w:cs="Arial"/>
          <w:kern w:val="0"/>
          <w:sz w:val="24"/>
        </w:rPr>
        <w:t xml:space="preserve"> </w:t>
      </w:r>
      <w:r>
        <w:rPr>
          <w:rFonts w:ascii="Arial" w:hAnsi="Arial" w:eastAsia="宋体" w:cs="Arial"/>
          <w:kern w:val="0"/>
          <w:sz w:val="24"/>
        </w:rPr>
        <w:t>was conducted for multi</w:t>
      </w:r>
      <w:r>
        <w:rPr>
          <w:rFonts w:hint="eastAsia" w:ascii="Arial" w:hAnsi="Arial" w:eastAsia="宋体" w:cs="Arial"/>
          <w:kern w:val="0"/>
          <w:sz w:val="24"/>
        </w:rPr>
        <w:t>-</w:t>
      </w:r>
      <w:r>
        <w:rPr>
          <w:rFonts w:ascii="Arial" w:hAnsi="Arial" w:eastAsia="宋体" w:cs="Arial"/>
          <w:kern w:val="0"/>
          <w:sz w:val="24"/>
        </w:rPr>
        <w:t xml:space="preserve">group </w:t>
      </w:r>
      <w:r>
        <w:rPr>
          <w:rFonts w:hint="eastAsia" w:ascii="Arial" w:hAnsi="Arial" w:eastAsia="宋体" w:cs="Arial"/>
          <w:kern w:val="0"/>
          <w:sz w:val="24"/>
        </w:rPr>
        <w:t xml:space="preserve">data </w:t>
      </w:r>
      <w:r>
        <w:rPr>
          <w:rFonts w:ascii="Arial" w:hAnsi="Arial" w:eastAsia="宋体" w:cs="Arial"/>
          <w:kern w:val="0"/>
          <w:sz w:val="24"/>
        </w:rPr>
        <w:t>comparison, followed by Tukey's post hoc test</w:t>
      </w:r>
      <w:r>
        <w:rPr>
          <w:rFonts w:hint="eastAsia" w:ascii="Arial" w:hAnsi="Arial" w:eastAsia="宋体" w:cs="Arial"/>
          <w:kern w:val="0"/>
          <w:sz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In panels C-F, </w:t>
      </w:r>
      <w:r>
        <w:rPr>
          <w:rFonts w:ascii="Arial" w:hAnsi="Arial" w:eastAsia="宋体" w:cs="Arial"/>
          <w:kern w:val="0"/>
          <w:sz w:val="24"/>
        </w:rPr>
        <w:t>**</w:t>
      </w:r>
      <w:r>
        <w:rPr>
          <w:rFonts w:ascii="Arial" w:hAnsi="Arial" w:eastAsia="宋体" w:cs="Arial"/>
          <w:i/>
          <w:kern w:val="0"/>
          <w:sz w:val="24"/>
        </w:rPr>
        <w:t xml:space="preserve">p </w:t>
      </w:r>
      <w:r>
        <w:rPr>
          <w:rFonts w:ascii="Arial" w:hAnsi="Arial" w:eastAsia="宋体" w:cs="Arial"/>
          <w:kern w:val="0"/>
          <w:sz w:val="24"/>
        </w:rPr>
        <w:t>&lt; 0.01</w:t>
      </w:r>
      <w:r>
        <w:rPr>
          <w:rFonts w:hint="eastAsia" w:ascii="Arial" w:hAnsi="Arial" w:eastAsia="宋体" w:cs="Arial"/>
          <w:kern w:val="0"/>
          <w:sz w:val="24"/>
        </w:rPr>
        <w:t xml:space="preserve">, </w:t>
      </w:r>
      <w:r>
        <w:rPr>
          <w:rFonts w:ascii="Arial" w:hAnsi="Arial" w:eastAsia="宋体" w:cs="Arial"/>
          <w:kern w:val="0"/>
          <w:sz w:val="24"/>
        </w:rPr>
        <w:t>***</w:t>
      </w:r>
      <w:r>
        <w:rPr>
          <w:rFonts w:ascii="Arial" w:hAnsi="Arial" w:eastAsia="宋体" w:cs="Arial"/>
          <w:i/>
          <w:kern w:val="0"/>
          <w:sz w:val="24"/>
        </w:rPr>
        <w:t xml:space="preserve">p </w:t>
      </w:r>
      <w:r>
        <w:rPr>
          <w:rFonts w:ascii="Arial" w:hAnsi="Arial" w:eastAsia="宋体" w:cs="Arial"/>
          <w:kern w:val="0"/>
          <w:sz w:val="24"/>
        </w:rPr>
        <w:t>&lt; 0.001</w:t>
      </w:r>
      <w:r>
        <w:rPr>
          <w:rFonts w:hint="eastAsia" w:ascii="Arial" w:hAnsi="Arial" w:eastAsia="宋体" w:cs="Arial"/>
          <w:kern w:val="0"/>
          <w:sz w:val="24"/>
        </w:rPr>
        <w:t xml:space="preserve"> or </w:t>
      </w:r>
      <w:r>
        <w:rPr>
          <w:rFonts w:ascii="Arial" w:hAnsi="Arial" w:eastAsia="宋体" w:cs="Arial"/>
          <w:kern w:val="0"/>
          <w:sz w:val="24"/>
        </w:rPr>
        <w:t>****</w:t>
      </w:r>
      <w:r>
        <w:rPr>
          <w:rFonts w:ascii="Arial" w:hAnsi="Arial" w:eastAsia="宋体" w:cs="Arial"/>
          <w:i/>
          <w:kern w:val="0"/>
          <w:sz w:val="24"/>
        </w:rPr>
        <w:t xml:space="preserve">p </w:t>
      </w:r>
      <w:r>
        <w:rPr>
          <w:rFonts w:ascii="Arial" w:hAnsi="Arial" w:eastAsia="宋体" w:cs="Arial"/>
          <w:kern w:val="0"/>
          <w:sz w:val="24"/>
        </w:rPr>
        <w:t>&lt; 0.0001</w:t>
      </w:r>
      <w:r>
        <w:rPr>
          <w:rFonts w:hint="eastAsia" w:ascii="Arial" w:hAnsi="Arial" w:eastAsia="宋体" w:cs="Arial"/>
          <w:kern w:val="0"/>
          <w:sz w:val="24"/>
        </w:rPr>
        <w:t>,</w:t>
      </w:r>
      <w:r>
        <w:rPr>
          <w:rFonts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i/>
          <w:iCs/>
          <w:sz w:val="24"/>
          <w:szCs w:val="24"/>
        </w:rPr>
        <w:t>vs.</w:t>
      </w:r>
      <w:r>
        <w:rPr>
          <w:rFonts w:hint="eastAsia"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bCs/>
          <w:sz w:val="24"/>
          <w:szCs w:val="24"/>
        </w:rPr>
        <w:t>EVs-NC mimic</w:t>
      </w:r>
      <w:r>
        <w:rPr>
          <w:rFonts w:ascii="Arial" w:hAnsi="Arial" w:eastAsia="宋体" w:cs="Arial"/>
          <w:sz w:val="24"/>
          <w:szCs w:val="24"/>
        </w:rPr>
        <w:t xml:space="preserve"> group. </w:t>
      </w:r>
      <w:r>
        <w:rPr>
          <w:rFonts w:ascii="Arial" w:hAnsi="Arial" w:eastAsia="宋体" w:cs="Arial"/>
          <w:sz w:val="24"/>
          <w:szCs w:val="24"/>
          <w:vertAlign w:val="superscript"/>
        </w:rPr>
        <w:t>#</w:t>
      </w:r>
      <w:r>
        <w:rPr>
          <w:rFonts w:ascii="Arial" w:hAnsi="Arial" w:eastAsia="宋体" w:cs="Arial"/>
          <w:i/>
          <w:iCs/>
          <w:sz w:val="24"/>
          <w:szCs w:val="24"/>
        </w:rPr>
        <w:t>p</w:t>
      </w:r>
      <w:r>
        <w:rPr>
          <w:rFonts w:ascii="Arial" w:hAnsi="Arial" w:eastAsia="宋体" w:cs="Arial"/>
          <w:sz w:val="24"/>
          <w:szCs w:val="24"/>
        </w:rPr>
        <w:t xml:space="preserve"> &lt; 0.05</w:t>
      </w:r>
      <w:r>
        <w:rPr>
          <w:rFonts w:hint="eastAsia" w:ascii="Arial" w:hAnsi="Arial" w:eastAsia="宋体" w:cs="Arial"/>
          <w:sz w:val="24"/>
          <w:szCs w:val="24"/>
        </w:rPr>
        <w:t xml:space="preserve"> or </w:t>
      </w:r>
      <w:r>
        <w:rPr>
          <w:rFonts w:ascii="Arial" w:hAnsi="Arial" w:eastAsia="宋体" w:cs="Arial"/>
          <w:sz w:val="24"/>
          <w:szCs w:val="24"/>
          <w:vertAlign w:val="superscript"/>
        </w:rPr>
        <w:t>##</w:t>
      </w:r>
      <w:r>
        <w:rPr>
          <w:rFonts w:ascii="Arial" w:hAnsi="Arial" w:eastAsia="宋体" w:cs="Arial"/>
          <w:i/>
          <w:iCs/>
          <w:sz w:val="24"/>
          <w:szCs w:val="24"/>
        </w:rPr>
        <w:t>p</w:t>
      </w:r>
      <w:r>
        <w:rPr>
          <w:rFonts w:ascii="Arial" w:hAnsi="Arial" w:eastAsia="宋体" w:cs="Arial"/>
          <w:i/>
          <w:sz w:val="24"/>
          <w:szCs w:val="24"/>
        </w:rPr>
        <w:t xml:space="preserve"> </w:t>
      </w:r>
      <w:r>
        <w:rPr>
          <w:rFonts w:ascii="Arial" w:hAnsi="Arial" w:eastAsia="宋体" w:cs="Arial"/>
          <w:sz w:val="24"/>
          <w:szCs w:val="24"/>
        </w:rPr>
        <w:t>&lt; 0.01</w:t>
      </w:r>
      <w:r>
        <w:rPr>
          <w:rFonts w:hint="eastAsia" w:ascii="Arial" w:hAnsi="Arial" w:eastAsia="宋体" w:cs="Arial"/>
          <w:sz w:val="24"/>
          <w:szCs w:val="24"/>
        </w:rPr>
        <w:t>,</w:t>
      </w:r>
      <w:r>
        <w:rPr>
          <w:rFonts w:ascii="Arial" w:hAnsi="Arial" w:eastAsia="宋体" w:cs="Arial"/>
          <w:sz w:val="24"/>
          <w:szCs w:val="24"/>
        </w:rPr>
        <w:t xml:space="preserve"> </w:t>
      </w:r>
      <w:r>
        <w:rPr>
          <w:rFonts w:ascii="Arial" w:hAnsi="Arial" w:eastAsia="宋体" w:cs="Arial"/>
          <w:i/>
          <w:iCs/>
          <w:sz w:val="24"/>
          <w:szCs w:val="24"/>
        </w:rPr>
        <w:t xml:space="preserve">vs. </w:t>
      </w:r>
      <w:r>
        <w:rPr>
          <w:rFonts w:ascii="Arial" w:hAnsi="Arial" w:eastAsia="宋体" w:cs="Arial"/>
          <w:bCs/>
          <w:sz w:val="24"/>
          <w:szCs w:val="24"/>
        </w:rPr>
        <w:t>EVs-</w:t>
      </w:r>
      <w:r>
        <w:rPr>
          <w:rFonts w:ascii="Arial" w:hAnsi="Arial" w:eastAsia="宋体" w:cs="Arial"/>
          <w:sz w:val="24"/>
          <w:szCs w:val="24"/>
        </w:rPr>
        <w:t>miR-139-5p</w:t>
      </w:r>
      <w:r>
        <w:rPr>
          <w:rFonts w:ascii="Arial" w:hAnsi="Arial" w:eastAsia="宋体" w:cs="Arial"/>
          <w:bCs/>
          <w:sz w:val="24"/>
          <w:szCs w:val="24"/>
        </w:rPr>
        <w:t xml:space="preserve"> mimic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</w:t>
      </w:r>
      <w:r>
        <w:rPr>
          <w:rFonts w:ascii="Arial" w:hAnsi="Arial" w:eastAsia="宋体" w:cs="Arial"/>
          <w:bCs/>
          <w:sz w:val="24"/>
          <w:szCs w:val="24"/>
        </w:rPr>
        <w:t>+</w:t>
      </w:r>
      <w:r>
        <w:rPr>
          <w:rFonts w:hint="eastAsia" w:ascii="Arial" w:hAnsi="Arial" w:eastAsia="宋体" w:cs="Arial"/>
          <w:bCs/>
          <w:sz w:val="24"/>
          <w:szCs w:val="24"/>
        </w:rPr>
        <w:t xml:space="preserve"> </w:t>
      </w:r>
      <w:r>
        <w:rPr>
          <w:rFonts w:ascii="Arial" w:hAnsi="Arial" w:eastAsia="宋体" w:cs="Arial"/>
          <w:bCs/>
          <w:sz w:val="24"/>
          <w:szCs w:val="24"/>
        </w:rPr>
        <w:t>si-NC</w:t>
      </w:r>
      <w:r>
        <w:rPr>
          <w:rFonts w:hint="eastAsia" w:ascii="Arial" w:hAnsi="Arial" w:eastAsia="宋体" w:cs="Arial"/>
          <w:sz w:val="24"/>
          <w:szCs w:val="24"/>
        </w:rPr>
        <w:t>.</w:t>
      </w:r>
      <w:r>
        <w:rPr>
          <w:rFonts w:ascii="Arial" w:hAnsi="Arial" w:eastAsia="宋体" w:cs="Arial"/>
          <w:sz w:val="24"/>
          <w:szCs w:val="24"/>
        </w:rPr>
        <w:t xml:space="preserve"> The </w:t>
      </w:r>
      <w:r>
        <w:rPr>
          <w:rFonts w:hint="eastAsia" w:ascii="Arial" w:hAnsi="Arial" w:eastAsia="宋体" w:cs="Arial"/>
          <w:sz w:val="24"/>
          <w:szCs w:val="24"/>
        </w:rPr>
        <w:t xml:space="preserve">cell </w:t>
      </w:r>
      <w:r>
        <w:rPr>
          <w:rFonts w:ascii="Arial" w:hAnsi="Arial" w:eastAsia="宋体" w:cs="Arial"/>
          <w:sz w:val="24"/>
          <w:szCs w:val="24"/>
        </w:rPr>
        <w:t>experiment was repeated three times</w:t>
      </w:r>
      <w:r>
        <w:rPr>
          <w:rFonts w:hint="eastAsia" w:ascii="Arial" w:hAnsi="Arial" w:eastAsia="等线" w:cs="Arial"/>
          <w:sz w:val="24"/>
          <w:szCs w:val="24"/>
        </w:rPr>
        <w:t xml:space="preserve"> independently</w:t>
      </w:r>
      <w:r>
        <w:rPr>
          <w:rFonts w:ascii="Arial" w:hAnsi="Arial" w:eastAsia="宋体" w:cs="Arial"/>
          <w:sz w:val="24"/>
          <w:szCs w:val="24"/>
        </w:rPr>
        <w:t>.</w:t>
      </w:r>
    </w:p>
    <w:sectPr>
      <w:footerReference r:id="rId3" w:type="default"/>
      <w:pgSz w:w="11906" w:h="16838"/>
      <w:pgMar w:top="1440" w:right="1080" w:bottom="1440" w:left="1080" w:header="851" w:footer="850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8282714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9E"/>
    <w:rsid w:val="00197125"/>
    <w:rsid w:val="0052639E"/>
    <w:rsid w:val="00565558"/>
    <w:rsid w:val="009A5672"/>
    <w:rsid w:val="00F37A47"/>
    <w:rsid w:val="2AF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spacing w:after="120"/>
    </w:pPr>
    <w:rPr>
      <w:szCs w:val="22"/>
    </w:r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line number"/>
    <w:basedOn w:val="6"/>
    <w:semiHidden/>
    <w:unhideWhenUsed/>
    <w:uiPriority w:val="99"/>
  </w:style>
  <w:style w:type="character" w:customStyle="1" w:styleId="8">
    <w:name w:val="正文文本 Char"/>
    <w:basedOn w:val="6"/>
    <w:link w:val="2"/>
    <w:qFormat/>
    <w:uiPriority w:val="0"/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tiff"/><Relationship Id="rId7" Type="http://schemas.openxmlformats.org/officeDocument/2006/relationships/image" Target="media/image1.jpeg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714</Words>
  <Characters>4075</Characters>
  <Lines>33</Lines>
  <Paragraphs>9</Paragraphs>
  <TotalTime>0</TotalTime>
  <ScaleCrop>false</ScaleCrop>
  <LinksUpToDate>false</LinksUpToDate>
  <CharactersWithSpaces>4780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2022-03-09T09:28:00Z</dcterms:created>
  <dc:creator>Ying</dc:creator>
  <cp:lastModifiedBy>Administrator</cp:lastModifiedBy>
  <dcterms:modified xsi:type="dcterms:W3CDTF">2022-07-09T13:29:28Z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29FA650AAD104F528AFC488D7A61959A</vt:lpwstr>
  </property>
</Properties>
</file>