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992E5" w14:textId="6411EA66" w:rsidR="00C13AAA" w:rsidRPr="0064148D" w:rsidRDefault="00C13AAA" w:rsidP="00C13AAA">
      <w:pPr>
        <w:outlineLvl w:val="0"/>
        <w:rPr>
          <w:rFonts w:ascii="Times New Roman" w:hAnsi="Times New Roman" w:cs="Times New Roman"/>
          <w:b/>
          <w:sz w:val="21"/>
          <w:szCs w:val="21"/>
        </w:rPr>
      </w:pPr>
      <w:bookmarkStart w:id="0" w:name="OLE_LINK118"/>
      <w:bookmarkStart w:id="1" w:name="OLE_LINK119"/>
      <w:r w:rsidRPr="0064148D"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Pr="0064148D">
        <w:rPr>
          <w:rFonts w:ascii="Times New Roman" w:hAnsi="Times New Roman" w:cs="Times New Roman"/>
          <w:b/>
          <w:bCs/>
          <w:sz w:val="21"/>
          <w:szCs w:val="21"/>
        </w:rPr>
        <w:t>upplementary</w:t>
      </w:r>
      <w:r w:rsidRPr="0064148D">
        <w:rPr>
          <w:rFonts w:ascii="Times New Roman" w:hAnsi="Times New Roman" w:cs="Times New Roman"/>
          <w:b/>
          <w:sz w:val="21"/>
          <w:szCs w:val="21"/>
        </w:rPr>
        <w:t xml:space="preserve"> figure legends</w:t>
      </w:r>
    </w:p>
    <w:bookmarkEnd w:id="0"/>
    <w:bookmarkEnd w:id="1"/>
    <w:p w14:paraId="3DDC9093" w14:textId="279A1AAC" w:rsidR="00C13AAA" w:rsidRPr="0064148D" w:rsidRDefault="00C13AAA" w:rsidP="00C13AAA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64148D"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Pr="0064148D">
        <w:rPr>
          <w:rFonts w:ascii="Times New Roman" w:hAnsi="Times New Roman" w:cs="Times New Roman"/>
          <w:b/>
          <w:bCs/>
          <w:sz w:val="21"/>
          <w:szCs w:val="21"/>
        </w:rPr>
        <w:t>upplementary Fig. 1 Characterization of GSC cell line</w:t>
      </w:r>
      <w:r w:rsidR="007518DB"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Pr="0064148D"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14:paraId="51A32A1F" w14:textId="77777777" w:rsidR="00C13AAA" w:rsidRPr="0064148D" w:rsidRDefault="00C13AAA" w:rsidP="00C13AAA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64148D">
        <w:rPr>
          <w:rFonts w:ascii="Times New Roman" w:hAnsi="Times New Roman" w:cs="Times New Roman" w:hint="eastAsia"/>
          <w:sz w:val="21"/>
          <w:szCs w:val="21"/>
        </w:rPr>
        <w:t xml:space="preserve">(A) </w:t>
      </w:r>
      <w:r w:rsidRPr="0064148D">
        <w:rPr>
          <w:rFonts w:ascii="Times New Roman" w:hAnsi="Times New Roman" w:cs="Times New Roman"/>
          <w:sz w:val="21"/>
          <w:szCs w:val="21"/>
        </w:rPr>
        <w:t xml:space="preserve">Immunofluorescence staining of CD133, SOX2 and </w:t>
      </w:r>
      <w:proofErr w:type="spellStart"/>
      <w:r w:rsidRPr="0064148D">
        <w:rPr>
          <w:rFonts w:ascii="Times New Roman" w:hAnsi="Times New Roman" w:cs="Times New Roman"/>
          <w:sz w:val="21"/>
          <w:szCs w:val="21"/>
        </w:rPr>
        <w:t>Nestin</w:t>
      </w:r>
      <w:proofErr w:type="spellEnd"/>
      <w:r w:rsidRPr="0064148D">
        <w:rPr>
          <w:rFonts w:ascii="Times New Roman" w:hAnsi="Times New Roman" w:cs="Times New Roman"/>
          <w:sz w:val="21"/>
          <w:szCs w:val="21"/>
        </w:rPr>
        <w:t xml:space="preserve"> for GSC1 and GSC11 cells. (B) The representative image of a mouse brain specimen with glioma initiated by GSC1 cells.</w:t>
      </w:r>
    </w:p>
    <w:p w14:paraId="63C912A6" w14:textId="2AB3D004" w:rsidR="00287931" w:rsidRPr="0064148D" w:rsidRDefault="00287931" w:rsidP="00B11C9B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bookmarkStart w:id="2" w:name="OLE_LINK46"/>
      <w:bookmarkStart w:id="3" w:name="OLE_LINK47"/>
    </w:p>
    <w:p w14:paraId="5E7A8A79" w14:textId="634A22C1" w:rsidR="00FE7442" w:rsidRPr="0064148D" w:rsidRDefault="00FE7442" w:rsidP="00FE7442">
      <w:pPr>
        <w:spacing w:line="360" w:lineRule="auto"/>
        <w:rPr>
          <w:rFonts w:ascii="Times New Roman" w:hAnsi="Times New Roman"/>
          <w:b/>
          <w:bCs/>
          <w:sz w:val="21"/>
          <w:szCs w:val="21"/>
        </w:rPr>
      </w:pPr>
      <w:r w:rsidRPr="0064148D"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Pr="0064148D">
        <w:rPr>
          <w:rFonts w:ascii="Times New Roman" w:hAnsi="Times New Roman" w:cs="Times New Roman"/>
          <w:b/>
          <w:bCs/>
          <w:sz w:val="21"/>
          <w:szCs w:val="21"/>
        </w:rPr>
        <w:t xml:space="preserve">upplementary Fig. </w:t>
      </w:r>
      <w:r w:rsidR="00736C6B" w:rsidRPr="0064148D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Pr="0064148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14:paraId="17B3C9E3" w14:textId="68F349F8" w:rsidR="00B11C9B" w:rsidRPr="0064148D" w:rsidRDefault="00B11C9B" w:rsidP="00B11C9B">
      <w:pPr>
        <w:spacing w:line="360" w:lineRule="auto"/>
        <w:rPr>
          <w:rFonts w:ascii="Times New Roman" w:hAnsi="Times New Roman"/>
          <w:bCs/>
          <w:sz w:val="21"/>
          <w:szCs w:val="21"/>
        </w:rPr>
      </w:pPr>
      <w:r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(A) Quantification of the size of </w:t>
      </w:r>
      <w:proofErr w:type="spellStart"/>
      <w:r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>neurospheres</w:t>
      </w:r>
      <w:proofErr w:type="spellEnd"/>
      <w:r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</w:t>
      </w:r>
      <w:r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 GSCs t</w:t>
      </w:r>
      <w:r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reated with </w:t>
      </w:r>
      <w:proofErr w:type="spellStart"/>
      <w:r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>dbcAMP</w:t>
      </w:r>
      <w:proofErr w:type="spellEnd"/>
      <w:r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or forskolin</w:t>
      </w:r>
      <w:r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. (B) Analysis of </w:t>
      </w:r>
      <w:r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the proportion of </w:t>
      </w:r>
      <w:proofErr w:type="spellStart"/>
      <w:r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>EdU</w:t>
      </w:r>
      <w:proofErr w:type="spellEnd"/>
      <w:r w:rsidR="00736C6B"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>(+) GSCs after different treatments.</w:t>
      </w:r>
      <w:r w:rsidR="004060F5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 (</w:t>
      </w:r>
      <w:r w:rsidR="004769B9"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Data are shown as the mean ± SD. </w:t>
      </w:r>
      <w:r w:rsidR="004060F5" w:rsidRPr="0064148D">
        <w:rPr>
          <w:rFonts w:ascii="Times New Roman" w:hAnsi="Times New Roman" w:cs="Times New Roman" w:hint="eastAsia"/>
          <w:sz w:val="21"/>
          <w:szCs w:val="21"/>
        </w:rPr>
        <w:t xml:space="preserve">N.S., not significant; *, </w:t>
      </w:r>
      <w:r w:rsidR="004060F5" w:rsidRPr="0064148D">
        <w:rPr>
          <w:rFonts w:ascii="Times New Roman Italic" w:hAnsi="Times New Roman Italic" w:cs="Times New Roman Italic"/>
          <w:i/>
          <w:iCs/>
          <w:sz w:val="21"/>
          <w:szCs w:val="21"/>
        </w:rPr>
        <w:t>p</w:t>
      </w:r>
      <w:r w:rsidR="004060F5" w:rsidRPr="0064148D">
        <w:rPr>
          <w:rFonts w:ascii="Times New Roman" w:hAnsi="Times New Roman" w:cs="Times New Roman" w:hint="eastAsia"/>
          <w:sz w:val="21"/>
          <w:szCs w:val="21"/>
        </w:rPr>
        <w:t xml:space="preserve"> &lt; 0.05; **,</w:t>
      </w:r>
      <w:r w:rsidR="004060F5" w:rsidRPr="0064148D">
        <w:rPr>
          <w:rFonts w:ascii="Times New Roman Italic" w:hAnsi="Times New Roman Italic" w:cs="Times New Roman Italic"/>
          <w:i/>
          <w:iCs/>
          <w:sz w:val="21"/>
          <w:szCs w:val="21"/>
        </w:rPr>
        <w:t xml:space="preserve"> p</w:t>
      </w:r>
      <w:r w:rsidR="004060F5" w:rsidRPr="0064148D">
        <w:rPr>
          <w:rFonts w:ascii="Times New Roman" w:hAnsi="Times New Roman" w:cs="Times New Roman" w:hint="eastAsia"/>
          <w:sz w:val="21"/>
          <w:szCs w:val="21"/>
        </w:rPr>
        <w:t xml:space="preserve"> &lt; 0.01; ***, </w:t>
      </w:r>
      <w:r w:rsidR="004060F5" w:rsidRPr="0064148D">
        <w:rPr>
          <w:rFonts w:ascii="Times New Roman Italic" w:hAnsi="Times New Roman Italic" w:cs="Times New Roman Italic"/>
          <w:i/>
          <w:iCs/>
          <w:sz w:val="21"/>
          <w:szCs w:val="21"/>
        </w:rPr>
        <w:t>p</w:t>
      </w:r>
      <w:r w:rsidR="004060F5" w:rsidRPr="0064148D">
        <w:rPr>
          <w:rFonts w:ascii="Times New Roman" w:hAnsi="Times New Roman" w:cs="Times New Roman" w:hint="eastAsia"/>
          <w:sz w:val="21"/>
          <w:szCs w:val="21"/>
        </w:rPr>
        <w:t xml:space="preserve"> &lt; 0.001</w:t>
      </w:r>
      <w:r w:rsidR="004060F5" w:rsidRPr="0064148D">
        <w:rPr>
          <w:rFonts w:ascii="Times New Roman" w:hAnsi="Times New Roman" w:cs="Times New Roman"/>
          <w:sz w:val="21"/>
          <w:szCs w:val="21"/>
        </w:rPr>
        <w:t>)</w:t>
      </w:r>
    </w:p>
    <w:p w14:paraId="2BFD85EA" w14:textId="77777777" w:rsidR="00FE7442" w:rsidRPr="0064148D" w:rsidRDefault="00FE7442" w:rsidP="00FE7442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7171B0F0" w14:textId="405706D9" w:rsidR="00C13AAA" w:rsidRPr="0064148D" w:rsidRDefault="00FE7442" w:rsidP="00FE7442">
      <w:pPr>
        <w:spacing w:line="360" w:lineRule="auto"/>
        <w:rPr>
          <w:rFonts w:ascii="Times New Roman" w:hAnsi="Times New Roman"/>
          <w:b/>
          <w:bCs/>
          <w:sz w:val="21"/>
          <w:szCs w:val="21"/>
        </w:rPr>
      </w:pPr>
      <w:r w:rsidRPr="0064148D"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Pr="0064148D">
        <w:rPr>
          <w:rFonts w:ascii="Times New Roman" w:hAnsi="Times New Roman" w:cs="Times New Roman"/>
          <w:b/>
          <w:bCs/>
          <w:sz w:val="21"/>
          <w:szCs w:val="21"/>
        </w:rPr>
        <w:t xml:space="preserve">upplementary Fig. </w:t>
      </w:r>
      <w:r w:rsidR="00736C6B" w:rsidRPr="0064148D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Pr="0064148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bookmarkEnd w:id="2"/>
    <w:bookmarkEnd w:id="3"/>
    <w:p w14:paraId="319DDEB3" w14:textId="380F45F7" w:rsidR="00C13AAA" w:rsidRPr="0064148D" w:rsidRDefault="0009644E" w:rsidP="00C13AAA">
      <w:pPr>
        <w:spacing w:line="360" w:lineRule="auto"/>
        <w:rPr>
          <w:rFonts w:ascii="Times New Roman" w:hAnsi="Times New Roman"/>
          <w:bCs/>
          <w:sz w:val="21"/>
          <w:szCs w:val="21"/>
        </w:rPr>
      </w:pPr>
      <w:r w:rsidRPr="0064148D">
        <w:rPr>
          <w:rFonts w:ascii="Times New Roman" w:hAnsi="Times New Roman"/>
          <w:bCs/>
          <w:sz w:val="21"/>
          <w:szCs w:val="21"/>
        </w:rPr>
        <w:t>(</w:t>
      </w:r>
      <w:r w:rsidRPr="0064148D">
        <w:rPr>
          <w:rFonts w:ascii="Times New Roman" w:hAnsi="Times New Roman" w:hint="eastAsia"/>
          <w:bCs/>
          <w:sz w:val="21"/>
          <w:szCs w:val="21"/>
        </w:rPr>
        <w:t>A</w:t>
      </w:r>
      <w:r w:rsidRPr="0064148D">
        <w:rPr>
          <w:rFonts w:ascii="Times New Roman" w:hAnsi="Times New Roman"/>
          <w:bCs/>
          <w:sz w:val="21"/>
          <w:szCs w:val="21"/>
        </w:rPr>
        <w:t xml:space="preserve">) </w:t>
      </w:r>
      <w:bookmarkStart w:id="4" w:name="OLE_LINK53"/>
      <w:r w:rsidRPr="0064148D">
        <w:rPr>
          <w:rFonts w:ascii="Times New Roman" w:hAnsi="Times New Roman"/>
          <w:bCs/>
          <w:sz w:val="21"/>
          <w:szCs w:val="21"/>
        </w:rPr>
        <w:t>Densitometric</w:t>
      </w:r>
      <w:bookmarkEnd w:id="4"/>
      <w:r w:rsidRPr="0064148D">
        <w:rPr>
          <w:rFonts w:ascii="Times New Roman" w:hAnsi="Times New Roman"/>
          <w:bCs/>
          <w:sz w:val="21"/>
          <w:szCs w:val="21"/>
        </w:rPr>
        <w:t xml:space="preserve"> quantification of protein bands for </w:t>
      </w:r>
      <w:r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β-catenin in GSCs treated with </w:t>
      </w:r>
      <w:proofErr w:type="spellStart"/>
      <w:r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dbcAMP</w:t>
      </w:r>
      <w:proofErr w:type="spellEnd"/>
      <w:r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 and forskolin. </w:t>
      </w:r>
      <w:r w:rsidR="00B11C9B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(</w:t>
      </w:r>
      <w:r w:rsidRPr="0064148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B</w:t>
      </w:r>
      <w:r w:rsidR="00B11C9B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) Quantification of immunofluorescence of total and nuclear level of β-catenin in GSCs treated with </w:t>
      </w:r>
      <w:proofErr w:type="spellStart"/>
      <w:r w:rsidR="00B11C9B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dbcAMP</w:t>
      </w:r>
      <w:proofErr w:type="spellEnd"/>
      <w:r w:rsidR="00B11C9B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.</w:t>
      </w:r>
      <w:r w:rsidR="00B11C9B" w:rsidRPr="0064148D">
        <w:rPr>
          <w:rFonts w:ascii="Times New Roman" w:hAnsi="Times New Roman"/>
          <w:bCs/>
          <w:sz w:val="21"/>
          <w:szCs w:val="21"/>
        </w:rPr>
        <w:t xml:space="preserve"> </w:t>
      </w:r>
      <w:r w:rsidR="00C13AAA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(</w:t>
      </w:r>
      <w:r w:rsidR="00B11C9B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C</w:t>
      </w:r>
      <w:r w:rsidR="00C13AAA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) </w:t>
      </w:r>
      <w:bookmarkStart w:id="5" w:name="OLE_LINK173"/>
      <w:bookmarkStart w:id="6" w:name="OLE_LINK42"/>
      <w:bookmarkStart w:id="7" w:name="OLE_LINK43"/>
      <w:r w:rsidR="00C13AAA" w:rsidRPr="0064148D">
        <w:rPr>
          <w:rFonts w:ascii="Times New Roman" w:hAnsi="Times New Roman"/>
          <w:bCs/>
          <w:sz w:val="21"/>
          <w:szCs w:val="21"/>
        </w:rPr>
        <w:t>Densitometric quantification of protein bands</w:t>
      </w:r>
      <w:bookmarkEnd w:id="5"/>
      <w:r w:rsidR="00C13AAA" w:rsidRPr="0064148D">
        <w:rPr>
          <w:rFonts w:ascii="Times New Roman" w:hAnsi="Times New Roman"/>
          <w:bCs/>
          <w:sz w:val="21"/>
          <w:szCs w:val="21"/>
        </w:rPr>
        <w:t xml:space="preserve"> for</w:t>
      </w:r>
      <w:bookmarkEnd w:id="6"/>
      <w:bookmarkEnd w:id="7"/>
      <w:r w:rsidR="00C13AAA" w:rsidRPr="0064148D">
        <w:rPr>
          <w:rFonts w:ascii="Times New Roman" w:hAnsi="Times New Roman"/>
          <w:bCs/>
          <w:sz w:val="21"/>
          <w:szCs w:val="21"/>
        </w:rPr>
        <w:t xml:space="preserve"> </w:t>
      </w:r>
      <w:r w:rsidR="00C13AAA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phosphorylated β-catenin at Ser 675 in GSCs subjected to various treatments. (</w:t>
      </w:r>
      <w:r w:rsidR="00B11C9B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D</w:t>
      </w:r>
      <w:r w:rsidR="00C13AAA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) </w:t>
      </w:r>
      <w:r w:rsidR="00C13AAA" w:rsidRPr="0064148D">
        <w:rPr>
          <w:rFonts w:ascii="Times New Roman" w:hAnsi="Times New Roman"/>
          <w:bCs/>
          <w:sz w:val="21"/>
          <w:szCs w:val="21"/>
        </w:rPr>
        <w:t xml:space="preserve">Densitometric quantification of protein bands for </w:t>
      </w:r>
      <w:r w:rsidR="00C13AAA"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phosphorylated </w:t>
      </w:r>
      <w:r w:rsidR="00C13AAA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GSK-3</w:t>
      </w:r>
      <w:bookmarkStart w:id="8" w:name="OLE_LINK186"/>
      <w:r w:rsidR="00C13AAA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β</w:t>
      </w:r>
      <w:bookmarkEnd w:id="8"/>
      <w:r w:rsidR="00C13AAA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 at Ser9</w:t>
      </w:r>
      <w:r w:rsidR="00D969E5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 and GSK-3</w:t>
      </w:r>
      <w:r w:rsidR="00D969E5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β</w:t>
      </w:r>
      <w:r w:rsidR="00D969E5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 </w:t>
      </w:r>
      <w:r w:rsidR="00D969E5" w:rsidRPr="00D969E5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in GSCs treated with </w:t>
      </w:r>
      <w:proofErr w:type="spellStart"/>
      <w:r w:rsidR="00D969E5" w:rsidRPr="00D969E5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dbcAMP</w:t>
      </w:r>
      <w:proofErr w:type="spellEnd"/>
      <w:r w:rsidR="00C13AAA" w:rsidRPr="00D969E5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.</w:t>
      </w:r>
      <w:r w:rsidR="00C13AAA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 </w:t>
      </w:r>
      <w:bookmarkStart w:id="9" w:name="OLE_LINK1"/>
      <w:r w:rsidR="00C13AAA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(</w:t>
      </w:r>
      <w:r w:rsidR="004769B9"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Data are shown as the mean ± SD. </w:t>
      </w:r>
      <w:r w:rsidR="00C13AAA" w:rsidRPr="0064148D">
        <w:rPr>
          <w:rFonts w:ascii="Times New Roman" w:hAnsi="Times New Roman" w:cs="Times New Roman" w:hint="eastAsia"/>
          <w:sz w:val="21"/>
          <w:szCs w:val="21"/>
        </w:rPr>
        <w:t xml:space="preserve">N.S., not significant; *, </w:t>
      </w:r>
      <w:r w:rsidR="00C13AAA" w:rsidRPr="0064148D">
        <w:rPr>
          <w:rFonts w:ascii="Times New Roman Italic" w:hAnsi="Times New Roman Italic" w:cs="Times New Roman Italic"/>
          <w:i/>
          <w:iCs/>
          <w:sz w:val="21"/>
          <w:szCs w:val="21"/>
        </w:rPr>
        <w:t>p</w:t>
      </w:r>
      <w:r w:rsidR="00C13AAA" w:rsidRPr="0064148D">
        <w:rPr>
          <w:rFonts w:ascii="Times New Roman" w:hAnsi="Times New Roman" w:cs="Times New Roman" w:hint="eastAsia"/>
          <w:sz w:val="21"/>
          <w:szCs w:val="21"/>
        </w:rPr>
        <w:t xml:space="preserve"> &lt; 0.05; **,</w:t>
      </w:r>
      <w:r w:rsidR="00C13AAA" w:rsidRPr="0064148D">
        <w:rPr>
          <w:rFonts w:ascii="Times New Roman Italic" w:hAnsi="Times New Roman Italic" w:cs="Times New Roman Italic"/>
          <w:i/>
          <w:iCs/>
          <w:sz w:val="21"/>
          <w:szCs w:val="21"/>
        </w:rPr>
        <w:t xml:space="preserve"> p</w:t>
      </w:r>
      <w:r w:rsidR="00C13AAA" w:rsidRPr="0064148D">
        <w:rPr>
          <w:rFonts w:ascii="Times New Roman" w:hAnsi="Times New Roman" w:cs="Times New Roman" w:hint="eastAsia"/>
          <w:sz w:val="21"/>
          <w:szCs w:val="21"/>
        </w:rPr>
        <w:t xml:space="preserve"> &lt; 0.01; ***, </w:t>
      </w:r>
      <w:r w:rsidR="00C13AAA" w:rsidRPr="0064148D">
        <w:rPr>
          <w:rFonts w:ascii="Times New Roman Italic" w:hAnsi="Times New Roman Italic" w:cs="Times New Roman Italic"/>
          <w:i/>
          <w:iCs/>
          <w:sz w:val="21"/>
          <w:szCs w:val="21"/>
        </w:rPr>
        <w:t>p</w:t>
      </w:r>
      <w:r w:rsidR="00C13AAA" w:rsidRPr="0064148D">
        <w:rPr>
          <w:rFonts w:ascii="Times New Roman" w:hAnsi="Times New Roman" w:cs="Times New Roman" w:hint="eastAsia"/>
          <w:sz w:val="21"/>
          <w:szCs w:val="21"/>
        </w:rPr>
        <w:t xml:space="preserve"> &lt; 0.001; </w:t>
      </w:r>
      <w:r w:rsidR="00C13AAA" w:rsidRPr="0064148D">
        <w:rPr>
          <w:rFonts w:ascii="Times New Roman" w:hAnsi="Times New Roman" w:cs="Times New Roman"/>
          <w:sz w:val="21"/>
          <w:szCs w:val="21"/>
        </w:rPr>
        <w:t>*</w:t>
      </w:r>
      <w:r w:rsidR="00C13AAA" w:rsidRPr="0064148D">
        <w:rPr>
          <w:rFonts w:ascii="Times New Roman" w:hAnsi="Times New Roman" w:cs="Times New Roman" w:hint="eastAsia"/>
          <w:sz w:val="21"/>
          <w:szCs w:val="21"/>
        </w:rPr>
        <w:t xml:space="preserve">***, </w:t>
      </w:r>
      <w:r w:rsidR="00C13AAA" w:rsidRPr="0064148D">
        <w:rPr>
          <w:rFonts w:ascii="Times New Roman Italic" w:hAnsi="Times New Roman Italic" w:cs="Times New Roman Italic"/>
          <w:i/>
          <w:iCs/>
          <w:sz w:val="21"/>
          <w:szCs w:val="21"/>
        </w:rPr>
        <w:t>p</w:t>
      </w:r>
      <w:r w:rsidR="00C13AAA" w:rsidRPr="0064148D">
        <w:rPr>
          <w:rFonts w:ascii="Times New Roman" w:hAnsi="Times New Roman" w:cs="Times New Roman" w:hint="eastAsia"/>
          <w:sz w:val="21"/>
          <w:szCs w:val="21"/>
        </w:rPr>
        <w:t xml:space="preserve"> &lt; 0.</w:t>
      </w:r>
      <w:r w:rsidR="00C13AAA" w:rsidRPr="0064148D">
        <w:rPr>
          <w:rFonts w:ascii="Times New Roman" w:hAnsi="Times New Roman" w:cs="Times New Roman"/>
          <w:sz w:val="21"/>
          <w:szCs w:val="21"/>
        </w:rPr>
        <w:t>0</w:t>
      </w:r>
      <w:r w:rsidR="00C13AAA" w:rsidRPr="0064148D">
        <w:rPr>
          <w:rFonts w:ascii="Times New Roman" w:hAnsi="Times New Roman" w:cs="Times New Roman" w:hint="eastAsia"/>
          <w:sz w:val="21"/>
          <w:szCs w:val="21"/>
        </w:rPr>
        <w:t>001</w:t>
      </w:r>
      <w:r w:rsidR="00C13AAA" w:rsidRPr="0064148D">
        <w:rPr>
          <w:rFonts w:ascii="Times New Roman" w:hAnsi="Times New Roman" w:cs="Times New Roman"/>
          <w:sz w:val="21"/>
          <w:szCs w:val="21"/>
        </w:rPr>
        <w:t>)</w:t>
      </w:r>
      <w:bookmarkEnd w:id="9"/>
    </w:p>
    <w:p w14:paraId="10754814" w14:textId="77777777" w:rsidR="00C13AAA" w:rsidRPr="0064148D" w:rsidRDefault="00C13AAA" w:rsidP="00C13AAA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7E5AF2F1" w14:textId="74EFCD4D" w:rsidR="00C13AAA" w:rsidRPr="0064148D" w:rsidRDefault="00C13AAA" w:rsidP="00C13AAA">
      <w:pPr>
        <w:spacing w:line="360" w:lineRule="auto"/>
        <w:rPr>
          <w:rFonts w:ascii="Times New Roman" w:hAnsi="Times New Roman"/>
          <w:b/>
          <w:bCs/>
          <w:sz w:val="21"/>
          <w:szCs w:val="21"/>
        </w:rPr>
      </w:pPr>
      <w:r w:rsidRPr="0064148D"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Pr="0064148D">
        <w:rPr>
          <w:rFonts w:ascii="Times New Roman" w:hAnsi="Times New Roman" w:cs="Times New Roman"/>
          <w:b/>
          <w:bCs/>
          <w:sz w:val="21"/>
          <w:szCs w:val="21"/>
        </w:rPr>
        <w:t xml:space="preserve">upplementary Fig. </w:t>
      </w:r>
      <w:r w:rsidR="00736C6B" w:rsidRPr="0064148D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Pr="0064148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14:paraId="0226F2ED" w14:textId="53A79A8A" w:rsidR="00C13AAA" w:rsidRPr="0064148D" w:rsidRDefault="00B11C9B" w:rsidP="00C13AAA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</w:pPr>
      <w:r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(A) Quantification of the size of </w:t>
      </w:r>
      <w:proofErr w:type="spellStart"/>
      <w:r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>neurospheres</w:t>
      </w:r>
      <w:proofErr w:type="spellEnd"/>
      <w:r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</w:t>
      </w:r>
      <w:r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 GSCs </w:t>
      </w:r>
      <w:r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>after different treatments</w:t>
      </w:r>
      <w:r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. (B) Analysis of </w:t>
      </w:r>
      <w:r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the proportion of </w:t>
      </w:r>
      <w:proofErr w:type="spellStart"/>
      <w:r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>EdU</w:t>
      </w:r>
      <w:proofErr w:type="spellEnd"/>
      <w:r w:rsidR="00736C6B"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(+) GSCs after </w:t>
      </w:r>
      <w:r w:rsidR="00141C59"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exposure to </w:t>
      </w:r>
      <w:r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>different treatments.</w:t>
      </w:r>
      <w:r w:rsidR="00141C59" w:rsidRPr="0064148D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C13AAA"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>(</w:t>
      </w:r>
      <w:r w:rsidR="00141C59"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>C</w:t>
      </w:r>
      <w:r w:rsidR="00C13AAA"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) </w:t>
      </w:r>
      <w:r w:rsidR="00C13AAA" w:rsidRPr="0064148D">
        <w:rPr>
          <w:rFonts w:ascii="Times New Roman" w:hAnsi="Times New Roman"/>
          <w:bCs/>
          <w:sz w:val="21"/>
          <w:szCs w:val="21"/>
        </w:rPr>
        <w:t xml:space="preserve">Densitometric quantification of protein bands for </w:t>
      </w:r>
      <w:r w:rsidR="00C13AAA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β-catenin in GSC1 treated with </w:t>
      </w:r>
      <w:proofErr w:type="spellStart"/>
      <w:r w:rsidR="00C13AAA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dbcAMP</w:t>
      </w:r>
      <w:proofErr w:type="spellEnd"/>
      <w:r w:rsidR="00C13AAA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 and FH535. (</w:t>
      </w:r>
      <w:r w:rsidR="00141C59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D</w:t>
      </w:r>
      <w:r w:rsidR="00C13AAA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) Quantification of immunofluorescence of MAP2 and TUJ1 in GSCs with different treatments. (</w:t>
      </w:r>
      <w:r w:rsidR="00141C59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E</w:t>
      </w:r>
      <w:r w:rsidR="00C13AAA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) </w:t>
      </w:r>
      <w:r w:rsidR="00C13AAA" w:rsidRPr="0064148D">
        <w:rPr>
          <w:rFonts w:ascii="Times New Roman" w:hAnsi="Times New Roman"/>
          <w:bCs/>
          <w:sz w:val="21"/>
          <w:szCs w:val="21"/>
        </w:rPr>
        <w:t xml:space="preserve">Densitometric quantification of protein bands for </w:t>
      </w:r>
      <w:r w:rsidR="00C13AAA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β-catenin in GSCs treated with siRNA specific for β-catenin.</w:t>
      </w:r>
      <w:r w:rsidR="004060F5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 </w:t>
      </w:r>
      <w:r w:rsidR="007D1632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(F) Quantification of the fraction of </w:t>
      </w:r>
      <w:proofErr w:type="spellStart"/>
      <w:r w:rsidR="007D1632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EdU</w:t>
      </w:r>
      <w:proofErr w:type="spellEnd"/>
      <w:r w:rsidR="007D1632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 (+) cells in </w:t>
      </w:r>
      <w:r w:rsidR="007D1632"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GSCs </w:t>
      </w:r>
      <w:r w:rsidR="007D1632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with different treatments</w:t>
      </w:r>
      <w:r w:rsidR="007D1632"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="007D1632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 xml:space="preserve"> </w:t>
      </w:r>
      <w:r w:rsidR="004060F5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(</w:t>
      </w:r>
      <w:r w:rsidR="004769B9"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Data are shown as the mean ± SD. </w:t>
      </w:r>
      <w:r w:rsidR="004060F5" w:rsidRPr="0064148D">
        <w:rPr>
          <w:rFonts w:ascii="Times New Roman" w:hAnsi="Times New Roman" w:cs="Times New Roman" w:hint="eastAsia"/>
          <w:sz w:val="21"/>
          <w:szCs w:val="21"/>
        </w:rPr>
        <w:t xml:space="preserve">N.S., not significant; *, </w:t>
      </w:r>
      <w:r w:rsidR="004060F5" w:rsidRPr="0064148D">
        <w:rPr>
          <w:rFonts w:ascii="Times New Roman Italic" w:hAnsi="Times New Roman Italic" w:cs="Times New Roman Italic"/>
          <w:i/>
          <w:iCs/>
          <w:sz w:val="21"/>
          <w:szCs w:val="21"/>
        </w:rPr>
        <w:t>p</w:t>
      </w:r>
      <w:r w:rsidR="004060F5" w:rsidRPr="0064148D">
        <w:rPr>
          <w:rFonts w:ascii="Times New Roman" w:hAnsi="Times New Roman" w:cs="Times New Roman" w:hint="eastAsia"/>
          <w:sz w:val="21"/>
          <w:szCs w:val="21"/>
        </w:rPr>
        <w:t xml:space="preserve"> &lt; 0.05; **,</w:t>
      </w:r>
      <w:r w:rsidR="004060F5" w:rsidRPr="0064148D">
        <w:rPr>
          <w:rFonts w:ascii="Times New Roman Italic" w:hAnsi="Times New Roman Italic" w:cs="Times New Roman Italic"/>
          <w:i/>
          <w:iCs/>
          <w:sz w:val="21"/>
          <w:szCs w:val="21"/>
        </w:rPr>
        <w:t xml:space="preserve"> p</w:t>
      </w:r>
      <w:r w:rsidR="004060F5" w:rsidRPr="0064148D">
        <w:rPr>
          <w:rFonts w:ascii="Times New Roman" w:hAnsi="Times New Roman" w:cs="Times New Roman" w:hint="eastAsia"/>
          <w:sz w:val="21"/>
          <w:szCs w:val="21"/>
        </w:rPr>
        <w:t xml:space="preserve"> &lt; 0.01; ***, </w:t>
      </w:r>
      <w:r w:rsidR="004060F5" w:rsidRPr="0064148D">
        <w:rPr>
          <w:rFonts w:ascii="Times New Roman Italic" w:hAnsi="Times New Roman Italic" w:cs="Times New Roman Italic"/>
          <w:i/>
          <w:iCs/>
          <w:sz w:val="21"/>
          <w:szCs w:val="21"/>
        </w:rPr>
        <w:t>p</w:t>
      </w:r>
      <w:r w:rsidR="004060F5" w:rsidRPr="0064148D">
        <w:rPr>
          <w:rFonts w:ascii="Times New Roman" w:hAnsi="Times New Roman" w:cs="Times New Roman" w:hint="eastAsia"/>
          <w:sz w:val="21"/>
          <w:szCs w:val="21"/>
        </w:rPr>
        <w:t xml:space="preserve"> &lt; 0.001</w:t>
      </w:r>
      <w:r w:rsidR="004060F5" w:rsidRPr="0064148D">
        <w:rPr>
          <w:rFonts w:ascii="Times New Roman" w:hAnsi="Times New Roman" w:cs="Times New Roman"/>
          <w:sz w:val="21"/>
          <w:szCs w:val="21"/>
        </w:rPr>
        <w:t>)</w:t>
      </w:r>
    </w:p>
    <w:p w14:paraId="0D17EB59" w14:textId="77777777" w:rsidR="005463D2" w:rsidRPr="0064148D" w:rsidRDefault="005463D2" w:rsidP="00C13AAA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</w:pPr>
    </w:p>
    <w:p w14:paraId="6FDFB4BA" w14:textId="610CF5DB" w:rsidR="004060F5" w:rsidRPr="0064148D" w:rsidRDefault="005463D2" w:rsidP="00287931">
      <w:pPr>
        <w:spacing w:line="360" w:lineRule="auto"/>
        <w:outlineLvl w:val="0"/>
        <w:rPr>
          <w:rFonts w:ascii="Times New Roman" w:hAnsi="Times New Roman" w:cs="Times New Roman"/>
          <w:b/>
          <w:bCs/>
          <w:sz w:val="21"/>
          <w:szCs w:val="21"/>
        </w:rPr>
      </w:pPr>
      <w:r w:rsidRPr="0064148D"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Pr="0064148D">
        <w:rPr>
          <w:rFonts w:ascii="Times New Roman" w:hAnsi="Times New Roman" w:cs="Times New Roman"/>
          <w:b/>
          <w:bCs/>
          <w:sz w:val="21"/>
          <w:szCs w:val="21"/>
        </w:rPr>
        <w:t xml:space="preserve">upplementary Fig. </w:t>
      </w:r>
      <w:r w:rsidR="00736C6B" w:rsidRPr="0064148D">
        <w:rPr>
          <w:rFonts w:ascii="Times New Roman" w:hAnsi="Times New Roman" w:cs="Times New Roman"/>
          <w:b/>
          <w:bCs/>
          <w:sz w:val="21"/>
          <w:szCs w:val="21"/>
        </w:rPr>
        <w:t>5</w:t>
      </w:r>
      <w:r w:rsidRPr="0064148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14:paraId="7FA7DD60" w14:textId="1880ECD6" w:rsidR="004060F5" w:rsidRPr="00287931" w:rsidRDefault="005463D2" w:rsidP="004060F5">
      <w:pPr>
        <w:spacing w:line="360" w:lineRule="auto"/>
        <w:outlineLvl w:val="0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64148D">
        <w:rPr>
          <w:rFonts w:ascii="Times New Roman" w:hAnsi="Times New Roman" w:cs="Times New Roman"/>
          <w:sz w:val="21"/>
          <w:szCs w:val="21"/>
        </w:rPr>
        <w:lastRenderedPageBreak/>
        <w:t xml:space="preserve">Quantification of </w:t>
      </w:r>
      <w:bookmarkStart w:id="10" w:name="OLE_LINK7"/>
      <w:bookmarkStart w:id="11" w:name="OLE_LINK8"/>
      <w:bookmarkStart w:id="12" w:name="OLE_LINK27"/>
      <w:r w:rsidR="00287931" w:rsidRPr="0064148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i</w:t>
      </w:r>
      <w:r w:rsidR="00287931"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>mmunohistochemical staining</w:t>
      </w:r>
      <w:bookmarkEnd w:id="10"/>
      <w:bookmarkEnd w:id="11"/>
      <w:bookmarkEnd w:id="12"/>
      <w:r w:rsidR="00287931" w:rsidRPr="0064148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="00287931" w:rsidRPr="0064148D">
        <w:rPr>
          <w:rFonts w:ascii="Times New Roman" w:hAnsi="Times New Roman" w:cs="Times New Roman" w:hint="eastAsia"/>
          <w:sz w:val="21"/>
          <w:szCs w:val="21"/>
        </w:rPr>
        <w:t>for</w:t>
      </w:r>
      <w:r w:rsidR="00287931" w:rsidRPr="0064148D">
        <w:rPr>
          <w:rFonts w:ascii="Times New Roman" w:hAnsi="Times New Roman" w:cs="Times New Roman"/>
          <w:sz w:val="21"/>
          <w:szCs w:val="21"/>
        </w:rPr>
        <w:t xml:space="preserve"> </w:t>
      </w:r>
      <w:r w:rsidRPr="0064148D">
        <w:rPr>
          <w:rFonts w:ascii="Times New Roman" w:hAnsi="Times New Roman" w:cs="Times New Roman"/>
          <w:sz w:val="21"/>
          <w:szCs w:val="21"/>
        </w:rPr>
        <w:t>Ki-67 and MAP2 in</w:t>
      </w:r>
      <w:r w:rsidR="00287931" w:rsidRPr="0064148D">
        <w:rPr>
          <w:rFonts w:ascii="Times New Roman" w:hAnsi="Times New Roman" w:cs="Times New Roman"/>
          <w:sz w:val="21"/>
          <w:szCs w:val="21"/>
        </w:rPr>
        <w:t xml:space="preserve"> </w:t>
      </w:r>
      <w:r w:rsidR="00287931" w:rsidRPr="0064148D">
        <w:rPr>
          <w:rFonts w:ascii="Times New Roman" w:hAnsi="Times New Roman" w:cs="Times New Roman" w:hint="eastAsia"/>
          <w:sz w:val="21"/>
          <w:szCs w:val="21"/>
        </w:rPr>
        <w:t>different</w:t>
      </w:r>
      <w:r w:rsidRPr="0064148D">
        <w:rPr>
          <w:rFonts w:ascii="Times New Roman" w:hAnsi="Times New Roman" w:cs="Times New Roman"/>
          <w:sz w:val="21"/>
          <w:szCs w:val="21"/>
        </w:rPr>
        <w:t xml:space="preserve"> </w:t>
      </w:r>
      <w:r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tumor sections.</w:t>
      </w:r>
      <w:r w:rsidR="004060F5" w:rsidRPr="0064148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4060F5" w:rsidRPr="0064148D">
        <w:rPr>
          <w:rFonts w:ascii="Times New Roman" w:hAnsi="Times New Roman" w:cs="Times New Roman"/>
          <w:color w:val="000000" w:themeColor="text1"/>
          <w:sz w:val="21"/>
          <w:szCs w:val="21"/>
          <w:lang w:eastAsia="zh-Hans"/>
        </w:rPr>
        <w:t>(</w:t>
      </w:r>
      <w:r w:rsidR="004769B9" w:rsidRPr="0064148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Data are shown as the mean ± SD. </w:t>
      </w:r>
      <w:r w:rsidR="004060F5" w:rsidRPr="0064148D">
        <w:rPr>
          <w:rFonts w:ascii="Times New Roman" w:hAnsi="Times New Roman" w:cs="Times New Roman" w:hint="eastAsia"/>
          <w:sz w:val="21"/>
          <w:szCs w:val="21"/>
        </w:rPr>
        <w:t xml:space="preserve">N.S., not significant; *, </w:t>
      </w:r>
      <w:r w:rsidR="004060F5" w:rsidRPr="0064148D">
        <w:rPr>
          <w:rFonts w:ascii="Times New Roman Italic" w:hAnsi="Times New Roman Italic" w:cs="Times New Roman Italic"/>
          <w:i/>
          <w:iCs/>
          <w:sz w:val="21"/>
          <w:szCs w:val="21"/>
        </w:rPr>
        <w:t>p</w:t>
      </w:r>
      <w:r w:rsidR="004060F5" w:rsidRPr="0064148D">
        <w:rPr>
          <w:rFonts w:ascii="Times New Roman" w:hAnsi="Times New Roman" w:cs="Times New Roman" w:hint="eastAsia"/>
          <w:sz w:val="21"/>
          <w:szCs w:val="21"/>
        </w:rPr>
        <w:t xml:space="preserve"> &lt; 0.05; **,</w:t>
      </w:r>
      <w:r w:rsidR="004060F5" w:rsidRPr="0064148D">
        <w:rPr>
          <w:rFonts w:ascii="Times New Roman Italic" w:hAnsi="Times New Roman Italic" w:cs="Times New Roman Italic"/>
          <w:i/>
          <w:iCs/>
          <w:sz w:val="21"/>
          <w:szCs w:val="21"/>
        </w:rPr>
        <w:t xml:space="preserve"> p</w:t>
      </w:r>
      <w:r w:rsidR="004060F5" w:rsidRPr="0064148D">
        <w:rPr>
          <w:rFonts w:ascii="Times New Roman" w:hAnsi="Times New Roman" w:cs="Times New Roman" w:hint="eastAsia"/>
          <w:sz w:val="21"/>
          <w:szCs w:val="21"/>
        </w:rPr>
        <w:t xml:space="preserve"> &lt; 0.01</w:t>
      </w:r>
      <w:r w:rsidR="004060F5" w:rsidRPr="0064148D">
        <w:rPr>
          <w:rFonts w:ascii="Times New Roman" w:hAnsi="Times New Roman" w:cs="Times New Roman"/>
          <w:sz w:val="21"/>
          <w:szCs w:val="21"/>
        </w:rPr>
        <w:t>)</w:t>
      </w:r>
    </w:p>
    <w:p w14:paraId="66ABAAC8" w14:textId="65E4B644" w:rsidR="005463D2" w:rsidRPr="004060F5" w:rsidRDefault="005463D2" w:rsidP="00287931">
      <w:pPr>
        <w:spacing w:line="360" w:lineRule="auto"/>
        <w:outlineLvl w:val="0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3AD9D252" w14:textId="77777777" w:rsidR="000A3BA3" w:rsidRPr="004769B9" w:rsidRDefault="000A3BA3"/>
    <w:sectPr w:rsidR="000A3BA3" w:rsidRPr="004769B9" w:rsidSect="00087579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Italic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5C00AE"/>
    <w:multiLevelType w:val="hybridMultilevel"/>
    <w:tmpl w:val="60ECBE6E"/>
    <w:lvl w:ilvl="0" w:tplc="FF54E88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AA"/>
    <w:rsid w:val="0009644E"/>
    <w:rsid w:val="000A3BA3"/>
    <w:rsid w:val="000A5D84"/>
    <w:rsid w:val="00141C59"/>
    <w:rsid w:val="00206405"/>
    <w:rsid w:val="00287931"/>
    <w:rsid w:val="00370AF3"/>
    <w:rsid w:val="004060F5"/>
    <w:rsid w:val="004769B9"/>
    <w:rsid w:val="004B3F1B"/>
    <w:rsid w:val="005463D2"/>
    <w:rsid w:val="00561EC6"/>
    <w:rsid w:val="0064148D"/>
    <w:rsid w:val="00682BD9"/>
    <w:rsid w:val="006E18D8"/>
    <w:rsid w:val="006F1C5E"/>
    <w:rsid w:val="006F58BA"/>
    <w:rsid w:val="00736C6B"/>
    <w:rsid w:val="007518DB"/>
    <w:rsid w:val="00790A65"/>
    <w:rsid w:val="007D1632"/>
    <w:rsid w:val="008102DD"/>
    <w:rsid w:val="00833540"/>
    <w:rsid w:val="00876540"/>
    <w:rsid w:val="008C55DD"/>
    <w:rsid w:val="00911056"/>
    <w:rsid w:val="00946D59"/>
    <w:rsid w:val="009566AE"/>
    <w:rsid w:val="00B11C9B"/>
    <w:rsid w:val="00B65C75"/>
    <w:rsid w:val="00BF6669"/>
    <w:rsid w:val="00C13AAA"/>
    <w:rsid w:val="00D37D58"/>
    <w:rsid w:val="00D969E5"/>
    <w:rsid w:val="00DD69E8"/>
    <w:rsid w:val="00E309FC"/>
    <w:rsid w:val="00E62E3D"/>
    <w:rsid w:val="00FE3848"/>
    <w:rsid w:val="00FE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1BD29A"/>
  <w15:chartTrackingRefBased/>
  <w15:docId w15:val="{F599F0E8-8088-3545-83A4-F009D776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AAA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C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Zhijie Chen</dc:creator>
  <cp:keywords/>
  <dc:description/>
  <cp:lastModifiedBy>Zhijie Chen</cp:lastModifiedBy>
  <cp:revision>13</cp:revision>
  <dcterms:created xsi:type="dcterms:W3CDTF">2022-04-13T13:52:00Z</dcterms:created>
  <dcterms:modified xsi:type="dcterms:W3CDTF">2022-04-25T12:43:00Z</dcterms:modified>
</cp:coreProperties>
</file>