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030DD" w14:textId="77777777" w:rsidR="001514EF" w:rsidRPr="006F2325" w:rsidRDefault="001514EF" w:rsidP="006F2325">
      <w:pPr>
        <w:spacing w:line="480" w:lineRule="auto"/>
        <w:rPr>
          <w:rFonts w:ascii="Times New Roman" w:hAnsi="Times New Roman" w:cs="Times New Roman"/>
          <w:b/>
          <w:sz w:val="28"/>
        </w:rPr>
      </w:pPr>
      <w:r w:rsidRPr="006F2325">
        <w:rPr>
          <w:rFonts w:ascii="Times New Roman" w:hAnsi="Times New Roman" w:cs="Times New Roman"/>
          <w:b/>
          <w:sz w:val="28"/>
        </w:rPr>
        <w:t>The role of the PI3K/AKT signalling pathway in the corneal epithelium: Recent updates.</w:t>
      </w:r>
    </w:p>
    <w:p w14:paraId="54CF7935" w14:textId="77777777" w:rsidR="00A75F3F" w:rsidRDefault="00A75F3F" w:rsidP="006F2325">
      <w:pPr>
        <w:spacing w:line="360" w:lineRule="auto"/>
        <w:rPr>
          <w:rFonts w:ascii="Times New Roman" w:eastAsia="等线" w:hAnsi="Times New Roman" w:cs="Times New Roman"/>
          <w:sz w:val="24"/>
        </w:rPr>
      </w:pPr>
    </w:p>
    <w:p w14:paraId="3669C7E3" w14:textId="77777777" w:rsidR="001514EF" w:rsidRPr="006F2325" w:rsidRDefault="001514EF" w:rsidP="006F2325">
      <w:pPr>
        <w:spacing w:line="360" w:lineRule="auto"/>
        <w:rPr>
          <w:rFonts w:ascii="Times New Roman" w:eastAsia="等线" w:hAnsi="Times New Roman" w:cs="Times New Roman"/>
          <w:vertAlign w:val="superscript"/>
        </w:rPr>
      </w:pPr>
      <w:bookmarkStart w:id="0" w:name="_Hlk103271287"/>
      <w:r w:rsidRPr="006F2325">
        <w:rPr>
          <w:rFonts w:ascii="Times New Roman" w:eastAsia="等线" w:hAnsi="Times New Roman" w:cs="Times New Roman"/>
          <w:sz w:val="24"/>
        </w:rPr>
        <w:t>Kuangqi Chen</w:t>
      </w:r>
      <w:bookmarkStart w:id="1" w:name="_Ref94128034"/>
      <w:r w:rsidR="006F2325" w:rsidRPr="006F2325">
        <w:rPr>
          <w:rFonts w:ascii="Times New Roman" w:eastAsia="等线" w:hAnsi="Times New Roman" w:cs="Times New Roman"/>
          <w:vertAlign w:val="superscript"/>
        </w:rPr>
        <w:footnoteReference w:id="1"/>
      </w:r>
      <w:bookmarkEnd w:id="1"/>
      <w:r w:rsidR="006F2325" w:rsidRPr="006F2325">
        <w:rPr>
          <w:rFonts w:ascii="Times New Roman" w:eastAsia="等线" w:hAnsi="Times New Roman" w:cs="Times New Roman"/>
        </w:rPr>
        <w:t>,</w:t>
      </w:r>
      <w:r w:rsidRPr="006F2325">
        <w:rPr>
          <w:rFonts w:ascii="Times New Roman" w:eastAsia="等线" w:hAnsi="Times New Roman" w:cs="Times New Roman"/>
          <w:sz w:val="24"/>
          <w:szCs w:val="24"/>
        </w:rPr>
        <w:t xml:space="preserve"> Yanqing Li</w:t>
      </w:r>
      <w:r w:rsidRPr="006F2325">
        <w:rPr>
          <w:rFonts w:ascii="Times New Roman" w:eastAsia="等线" w:hAnsi="Times New Roman" w:cs="Times New Roman"/>
          <w:vertAlign w:val="superscript"/>
        </w:rPr>
        <w:fldChar w:fldCharType="begin"/>
      </w:r>
      <w:r w:rsidRPr="006F2325">
        <w:rPr>
          <w:rFonts w:ascii="Times New Roman" w:eastAsia="等线" w:hAnsi="Times New Roman" w:cs="Times New Roman"/>
          <w:vertAlign w:val="superscript"/>
        </w:rPr>
        <w:instrText xml:space="preserve"> NOTEREF _Ref94128034 \h  \* MERGEFORMAT </w:instrText>
      </w:r>
      <w:r w:rsidRPr="006F2325">
        <w:rPr>
          <w:rFonts w:ascii="Times New Roman" w:eastAsia="等线" w:hAnsi="Times New Roman" w:cs="Times New Roman"/>
          <w:vertAlign w:val="superscript"/>
        </w:rPr>
      </w:r>
      <w:r w:rsidRPr="006F2325">
        <w:rPr>
          <w:rFonts w:ascii="Times New Roman" w:eastAsia="等线" w:hAnsi="Times New Roman" w:cs="Times New Roman"/>
          <w:vertAlign w:val="superscript"/>
        </w:rPr>
        <w:fldChar w:fldCharType="separate"/>
      </w:r>
      <w:r w:rsidRPr="006F2325">
        <w:rPr>
          <w:rFonts w:ascii="Times New Roman" w:eastAsia="等线" w:hAnsi="Times New Roman" w:cs="Times New Roman"/>
          <w:vertAlign w:val="superscript"/>
        </w:rPr>
        <w:t>1</w:t>
      </w:r>
      <w:r w:rsidRPr="006F2325">
        <w:rPr>
          <w:rFonts w:ascii="Times New Roman" w:eastAsia="等线" w:hAnsi="Times New Roman" w:cs="Times New Roman"/>
        </w:rPr>
        <w:fldChar w:fldCharType="end"/>
      </w:r>
      <w:r w:rsidRPr="006F2325">
        <w:rPr>
          <w:rFonts w:ascii="Times New Roman" w:eastAsia="等线" w:hAnsi="Times New Roman" w:cs="Times New Roman"/>
        </w:rPr>
        <w:t xml:space="preserve">, </w:t>
      </w:r>
      <w:r w:rsidRPr="006F2325">
        <w:rPr>
          <w:rFonts w:ascii="Times New Roman" w:eastAsia="等线" w:hAnsi="Times New Roman" w:cs="Times New Roman"/>
          <w:sz w:val="24"/>
        </w:rPr>
        <w:t>Xuhong Zhang</w:t>
      </w:r>
      <w:r w:rsidRPr="006F2325">
        <w:rPr>
          <w:rFonts w:ascii="Times New Roman" w:eastAsia="等线" w:hAnsi="Times New Roman" w:cs="Times New Roman"/>
          <w:vertAlign w:val="superscript"/>
        </w:rPr>
        <w:fldChar w:fldCharType="begin"/>
      </w:r>
      <w:r w:rsidRPr="006F2325">
        <w:rPr>
          <w:rFonts w:ascii="Times New Roman" w:eastAsia="等线" w:hAnsi="Times New Roman" w:cs="Times New Roman"/>
          <w:vertAlign w:val="superscript"/>
        </w:rPr>
        <w:instrText xml:space="preserve"> NOTEREF _Ref94128034 \h  \* MERGEFORMAT </w:instrText>
      </w:r>
      <w:r w:rsidRPr="006F2325">
        <w:rPr>
          <w:rFonts w:ascii="Times New Roman" w:eastAsia="等线" w:hAnsi="Times New Roman" w:cs="Times New Roman"/>
          <w:vertAlign w:val="superscript"/>
        </w:rPr>
      </w:r>
      <w:r w:rsidRPr="006F2325">
        <w:rPr>
          <w:rFonts w:ascii="Times New Roman" w:eastAsia="等线" w:hAnsi="Times New Roman" w:cs="Times New Roman"/>
          <w:vertAlign w:val="superscript"/>
        </w:rPr>
        <w:fldChar w:fldCharType="separate"/>
      </w:r>
      <w:r w:rsidRPr="006F2325">
        <w:rPr>
          <w:rFonts w:ascii="Times New Roman" w:eastAsia="等线" w:hAnsi="Times New Roman" w:cs="Times New Roman"/>
          <w:vertAlign w:val="superscript"/>
        </w:rPr>
        <w:t>1</w:t>
      </w:r>
      <w:r w:rsidRPr="006F2325">
        <w:rPr>
          <w:rFonts w:ascii="Times New Roman" w:eastAsia="等线" w:hAnsi="Times New Roman" w:cs="Times New Roman"/>
        </w:rPr>
        <w:fldChar w:fldCharType="end"/>
      </w:r>
      <w:r w:rsidRPr="006F2325">
        <w:rPr>
          <w:rFonts w:ascii="Times New Roman" w:eastAsia="等线" w:hAnsi="Times New Roman" w:cs="Times New Roman"/>
        </w:rPr>
        <w:t>,</w:t>
      </w:r>
      <w:r w:rsidRPr="006F2325">
        <w:rPr>
          <w:rFonts w:ascii="Times New Roman" w:eastAsia="等线" w:hAnsi="Times New Roman" w:cs="Times New Roman"/>
          <w:sz w:val="24"/>
        </w:rPr>
        <w:t xml:space="preserve"> Rahim Ullah</w:t>
      </w:r>
      <w:r w:rsidR="006F2325" w:rsidRPr="006F2325">
        <w:rPr>
          <w:rFonts w:ascii="Times New Roman" w:eastAsia="等线" w:hAnsi="Times New Roman" w:cs="Times New Roman"/>
          <w:vertAlign w:val="superscript"/>
        </w:rPr>
        <w:t>2</w:t>
      </w:r>
      <w:r w:rsidRPr="006F2325">
        <w:rPr>
          <w:rFonts w:ascii="Times New Roman" w:eastAsia="等线" w:hAnsi="Times New Roman" w:cs="Times New Roman"/>
        </w:rPr>
        <w:t>,</w:t>
      </w:r>
      <w:r w:rsidRPr="006F2325">
        <w:rPr>
          <w:rFonts w:ascii="Times New Roman" w:eastAsia="等线" w:hAnsi="Times New Roman" w:cs="Times New Roman"/>
          <w:sz w:val="24"/>
        </w:rPr>
        <w:t xml:space="preserve"> Jianping Tong</w:t>
      </w:r>
      <w:r w:rsidRPr="006F2325">
        <w:rPr>
          <w:rFonts w:ascii="Times New Roman" w:eastAsia="等线" w:hAnsi="Times New Roman" w:cs="Times New Roman"/>
          <w:vertAlign w:val="superscript"/>
        </w:rPr>
        <w:fldChar w:fldCharType="begin"/>
      </w:r>
      <w:r w:rsidRPr="006F2325">
        <w:rPr>
          <w:rFonts w:ascii="Times New Roman" w:eastAsia="等线" w:hAnsi="Times New Roman" w:cs="Times New Roman"/>
          <w:vertAlign w:val="superscript"/>
        </w:rPr>
        <w:instrText xml:space="preserve"> NOTEREF _Ref94128034 \h  \* MERGEFORMAT </w:instrText>
      </w:r>
      <w:r w:rsidRPr="006F2325">
        <w:rPr>
          <w:rFonts w:ascii="Times New Roman" w:eastAsia="等线" w:hAnsi="Times New Roman" w:cs="Times New Roman"/>
          <w:vertAlign w:val="superscript"/>
        </w:rPr>
      </w:r>
      <w:r w:rsidRPr="006F2325">
        <w:rPr>
          <w:rFonts w:ascii="Times New Roman" w:eastAsia="等线" w:hAnsi="Times New Roman" w:cs="Times New Roman"/>
          <w:vertAlign w:val="superscript"/>
        </w:rPr>
        <w:fldChar w:fldCharType="separate"/>
      </w:r>
      <w:r w:rsidRPr="006F2325">
        <w:rPr>
          <w:rFonts w:ascii="Times New Roman" w:eastAsia="等线" w:hAnsi="Times New Roman" w:cs="Times New Roman"/>
          <w:vertAlign w:val="superscript"/>
        </w:rPr>
        <w:t>1</w:t>
      </w:r>
      <w:r w:rsidRPr="006F2325">
        <w:rPr>
          <w:rFonts w:ascii="Times New Roman" w:eastAsia="等线" w:hAnsi="Times New Roman" w:cs="Times New Roman"/>
        </w:rPr>
        <w:fldChar w:fldCharType="end"/>
      </w:r>
      <w:r w:rsidRPr="006F2325">
        <w:rPr>
          <w:rFonts w:ascii="Times New Roman" w:eastAsia="等线" w:hAnsi="Times New Roman" w:cs="Times New Roman"/>
        </w:rPr>
        <w:t xml:space="preserve"> and </w:t>
      </w:r>
      <w:r w:rsidRPr="006F2325">
        <w:rPr>
          <w:rFonts w:ascii="Times New Roman" w:eastAsia="等线" w:hAnsi="Times New Roman" w:cs="Times New Roman"/>
          <w:sz w:val="24"/>
        </w:rPr>
        <w:t>Ye Shen</w:t>
      </w:r>
      <w:r w:rsidRPr="006F2325">
        <w:rPr>
          <w:rFonts w:ascii="Times New Roman" w:eastAsia="等线" w:hAnsi="Times New Roman" w:cs="Times New Roman"/>
          <w:vertAlign w:val="superscript"/>
        </w:rPr>
        <w:fldChar w:fldCharType="begin"/>
      </w:r>
      <w:r w:rsidRPr="006F2325">
        <w:rPr>
          <w:rFonts w:ascii="Times New Roman" w:eastAsia="等线" w:hAnsi="Times New Roman" w:cs="Times New Roman"/>
          <w:vertAlign w:val="superscript"/>
        </w:rPr>
        <w:instrText xml:space="preserve"> NOTEREF _Ref94128034 \h  \* MERGEFORMAT </w:instrText>
      </w:r>
      <w:r w:rsidRPr="006F2325">
        <w:rPr>
          <w:rFonts w:ascii="Times New Roman" w:eastAsia="等线" w:hAnsi="Times New Roman" w:cs="Times New Roman"/>
          <w:vertAlign w:val="superscript"/>
        </w:rPr>
      </w:r>
      <w:r w:rsidRPr="006F2325">
        <w:rPr>
          <w:rFonts w:ascii="Times New Roman" w:eastAsia="等线" w:hAnsi="Times New Roman" w:cs="Times New Roman"/>
          <w:vertAlign w:val="superscript"/>
        </w:rPr>
        <w:fldChar w:fldCharType="separate"/>
      </w:r>
      <w:r w:rsidRPr="006F2325">
        <w:rPr>
          <w:rFonts w:ascii="Times New Roman" w:eastAsia="等线" w:hAnsi="Times New Roman" w:cs="Times New Roman"/>
          <w:vertAlign w:val="superscript"/>
        </w:rPr>
        <w:t>1</w:t>
      </w:r>
      <w:r w:rsidRPr="006F2325">
        <w:rPr>
          <w:rFonts w:ascii="Times New Roman" w:eastAsia="等线" w:hAnsi="Times New Roman" w:cs="Times New Roman"/>
        </w:rPr>
        <w:fldChar w:fldCharType="end"/>
      </w:r>
    </w:p>
    <w:p w14:paraId="13261CF2" w14:textId="77777777" w:rsidR="001514EF" w:rsidRPr="006F2325" w:rsidRDefault="001514EF" w:rsidP="006F2325">
      <w:pPr>
        <w:spacing w:line="360" w:lineRule="auto"/>
        <w:rPr>
          <w:rFonts w:ascii="Times New Roman" w:eastAsia="等线" w:hAnsi="Times New Roman" w:cs="Times New Roman"/>
          <w:lang w:bidi="en-US"/>
        </w:rPr>
      </w:pPr>
      <w:r w:rsidRPr="006F2325">
        <w:rPr>
          <w:rFonts w:ascii="Times New Roman" w:eastAsia="等线" w:hAnsi="Times New Roman" w:cs="Times New Roman"/>
          <w:lang w:bidi="en-US"/>
        </w:rPr>
        <w:t>Correspondence: Ye Shen (</w:t>
      </w:r>
      <w:hyperlink r:id="rId7" w:history="1">
        <w:r w:rsidRPr="006F2325">
          <w:rPr>
            <w:rFonts w:ascii="Times New Roman" w:eastAsia="等线" w:hAnsi="Times New Roman" w:cs="Times New Roman"/>
            <w:color w:val="0563C1"/>
            <w:u w:val="single"/>
            <w:lang w:bidi="en-US"/>
          </w:rPr>
          <w:t>idrshen@zju.edu.cn</w:t>
        </w:r>
      </w:hyperlink>
      <w:r w:rsidRPr="006F2325">
        <w:rPr>
          <w:rFonts w:ascii="Times New Roman" w:eastAsia="等线" w:hAnsi="Times New Roman" w:cs="Times New Roman"/>
          <w:lang w:bidi="en-US"/>
        </w:rPr>
        <w:t>)</w:t>
      </w:r>
    </w:p>
    <w:p w14:paraId="38311C59" w14:textId="77777777" w:rsidR="001514EF" w:rsidRPr="006F2325" w:rsidRDefault="001514EF" w:rsidP="006F2325">
      <w:pPr>
        <w:spacing w:line="360" w:lineRule="auto"/>
        <w:rPr>
          <w:rFonts w:ascii="Times New Roman" w:eastAsia="等线" w:hAnsi="Times New Roman" w:cs="Times New Roman"/>
          <w:lang w:bidi="en-US"/>
        </w:rPr>
      </w:pPr>
      <w:r w:rsidRPr="006F2325">
        <w:rPr>
          <w:rFonts w:ascii="Times New Roman" w:eastAsia="等线" w:hAnsi="Times New Roman" w:cs="Times New Roman"/>
          <w:lang w:bidi="en-US"/>
        </w:rPr>
        <w:t>Jianping Tong (idrtong@zju.edu.cn)</w:t>
      </w:r>
    </w:p>
    <w:p w14:paraId="4F195128" w14:textId="77777777" w:rsidR="001514EF" w:rsidRPr="006F2325" w:rsidRDefault="001514EF" w:rsidP="006F2325">
      <w:pPr>
        <w:spacing w:line="360" w:lineRule="auto"/>
        <w:rPr>
          <w:rFonts w:ascii="Times New Roman" w:eastAsia="等线" w:hAnsi="Times New Roman" w:cs="Times New Roman"/>
        </w:rPr>
      </w:pPr>
      <w:r w:rsidRPr="006F2325">
        <w:rPr>
          <w:rFonts w:ascii="Times New Roman" w:eastAsia="等线" w:hAnsi="Times New Roman" w:cs="Times New Roman"/>
          <w:vertAlign w:val="superscript"/>
        </w:rPr>
        <w:t xml:space="preserve">1 </w:t>
      </w:r>
      <w:r w:rsidRPr="006F2325">
        <w:rPr>
          <w:rFonts w:ascii="Times New Roman" w:eastAsia="等线" w:hAnsi="Times New Roman" w:cs="Times New Roman"/>
        </w:rPr>
        <w:t>Department of Ophthalmology, the First Affiliated Hospital, School of Medicine, Zhejiang University, Hangzhou, zhejiang, 310003, PR China; Kuangqi Chen (</w:t>
      </w:r>
      <w:hyperlink r:id="rId8" w:history="1">
        <w:r w:rsidRPr="006F2325">
          <w:rPr>
            <w:rFonts w:ascii="Times New Roman" w:eastAsia="等线" w:hAnsi="Times New Roman" w:cs="Times New Roman"/>
            <w:color w:val="0563C1"/>
            <w:u w:val="single"/>
          </w:rPr>
          <w:t>3160105142@zju.edu.cn</w:t>
        </w:r>
      </w:hyperlink>
      <w:r w:rsidRPr="006F2325">
        <w:rPr>
          <w:rFonts w:ascii="Times New Roman" w:eastAsia="等线" w:hAnsi="Times New Roman" w:cs="Times New Roman"/>
        </w:rPr>
        <w:t xml:space="preserve">); Yanqing Li (3180103182@zju.edu.cn); Xuhong Zhang (11918408@zju.edu.cn); </w:t>
      </w:r>
    </w:p>
    <w:p w14:paraId="194B48AB" w14:textId="77777777" w:rsidR="001514EF" w:rsidRPr="006F2325" w:rsidRDefault="001514EF" w:rsidP="006F2325">
      <w:pPr>
        <w:spacing w:line="360" w:lineRule="auto"/>
        <w:rPr>
          <w:rFonts w:ascii="Times New Roman" w:eastAsia="等线" w:hAnsi="Times New Roman" w:cs="Times New Roman"/>
        </w:rPr>
      </w:pPr>
      <w:r w:rsidRPr="006F2325">
        <w:rPr>
          <w:rFonts w:ascii="Times New Roman" w:eastAsia="等线" w:hAnsi="Times New Roman" w:cs="Times New Roman"/>
          <w:vertAlign w:val="superscript"/>
        </w:rPr>
        <w:t>2</w:t>
      </w:r>
      <w:r w:rsidRPr="006F2325">
        <w:rPr>
          <w:rFonts w:ascii="Times New Roman" w:eastAsia="等线" w:hAnsi="Times New Roman" w:cs="Times New Roman"/>
        </w:rPr>
        <w:t xml:space="preserve"> Department of Endocrinology, Children's Hospital of Zhejiang University School of Medicine, National Clinical Research Center for Child Health, Hangzhou, Zhejiang, 310052, PR China; Rahim Ullah (</w:t>
      </w:r>
      <w:hyperlink r:id="rId9" w:history="1">
        <w:r w:rsidRPr="006F2325">
          <w:rPr>
            <w:rFonts w:ascii="Times New Roman" w:eastAsia="等线" w:hAnsi="Times New Roman" w:cs="Times New Roman"/>
            <w:color w:val="0563C1"/>
            <w:u w:val="single"/>
          </w:rPr>
          <w:t>Rahim@zju.edu.cn</w:t>
        </w:r>
      </w:hyperlink>
      <w:r w:rsidRPr="006F2325">
        <w:rPr>
          <w:rFonts w:ascii="Times New Roman" w:eastAsia="等线" w:hAnsi="Times New Roman" w:cs="Times New Roman"/>
        </w:rPr>
        <w:t>);</w:t>
      </w:r>
    </w:p>
    <w:p w14:paraId="782F997D" w14:textId="77777777" w:rsidR="001514EF" w:rsidRDefault="001514EF" w:rsidP="00A75F3F">
      <w:pPr>
        <w:spacing w:line="360" w:lineRule="auto"/>
        <w:rPr>
          <w:rFonts w:ascii="Times New Roman" w:eastAsia="等线" w:hAnsi="Times New Roman" w:cs="Times New Roman"/>
        </w:rPr>
      </w:pPr>
      <w:r w:rsidRPr="006F2325">
        <w:rPr>
          <w:rFonts w:ascii="Times New Roman" w:eastAsia="等线" w:hAnsi="Times New Roman" w:cs="Times New Roman"/>
        </w:rPr>
        <w:t>*These authors contributed equally: Kuangqi Chen, Yanqing Li</w:t>
      </w:r>
    </w:p>
    <w:bookmarkEnd w:id="0"/>
    <w:p w14:paraId="55205AA7" w14:textId="77777777" w:rsidR="00A75F3F" w:rsidRPr="00A75F3F" w:rsidRDefault="00A75F3F" w:rsidP="00A75F3F">
      <w:pPr>
        <w:spacing w:line="360" w:lineRule="auto"/>
        <w:rPr>
          <w:rFonts w:ascii="Times New Roman" w:eastAsia="等线" w:hAnsi="Times New Roman" w:cs="Times New Roman"/>
        </w:rPr>
      </w:pPr>
    </w:p>
    <w:p w14:paraId="55429774" w14:textId="60CA1341" w:rsidR="001514EF" w:rsidRPr="006F2325" w:rsidRDefault="001514EF">
      <w:pPr>
        <w:spacing w:line="480" w:lineRule="auto"/>
        <w:rPr>
          <w:rFonts w:ascii="Times New Roman" w:hAnsi="Times New Roman" w:cs="Times New Roman"/>
          <w:b/>
          <w:sz w:val="24"/>
        </w:rPr>
      </w:pPr>
      <w:r w:rsidRPr="006F2325">
        <w:rPr>
          <w:rFonts w:ascii="Times New Roman" w:hAnsi="Times New Roman" w:cs="Times New Roman"/>
          <w:b/>
          <w:sz w:val="24"/>
        </w:rPr>
        <w:t xml:space="preserve">Abstract: </w:t>
      </w:r>
      <w:bookmarkStart w:id="2" w:name="_Hlk99649970"/>
      <w:bookmarkStart w:id="3" w:name="_Hlk103271316"/>
      <w:r w:rsidRPr="006F2325">
        <w:rPr>
          <w:rFonts w:ascii="Times New Roman" w:hAnsi="Times New Roman" w:cs="Times New Roman"/>
          <w:sz w:val="24"/>
        </w:rPr>
        <w:t>Phosphatidylinositol 3 kinase (PI3K)</w:t>
      </w:r>
      <w:bookmarkEnd w:id="2"/>
      <w:r w:rsidRPr="006F2325">
        <w:rPr>
          <w:rFonts w:ascii="Times New Roman" w:hAnsi="Times New Roman" w:cs="Times New Roman"/>
          <w:sz w:val="24"/>
        </w:rPr>
        <w:t xml:space="preserve">/AKT </w:t>
      </w:r>
      <w:r w:rsidRPr="006F2325">
        <w:rPr>
          <w:rFonts w:ascii="Times New Roman" w:hAnsi="Times New Roman" w:cs="Times New Roman" w:hint="eastAsia"/>
          <w:sz w:val="24"/>
        </w:rPr>
        <w:t>(</w:t>
      </w:r>
      <w:r w:rsidRPr="006F2325">
        <w:rPr>
          <w:rFonts w:ascii="Times New Roman" w:hAnsi="Times New Roman" w:cs="Times New Roman"/>
          <w:sz w:val="24"/>
        </w:rPr>
        <w:t>also called protein kinase B</w:t>
      </w:r>
      <w:r w:rsidRPr="006F2325">
        <w:rPr>
          <w:rFonts w:ascii="Times New Roman" w:hAnsi="Times New Roman" w:cs="Times New Roman" w:hint="eastAsia"/>
          <w:sz w:val="24"/>
        </w:rPr>
        <w:t>,</w:t>
      </w:r>
      <w:r w:rsidRPr="006F2325">
        <w:rPr>
          <w:rFonts w:ascii="Times New Roman" w:hAnsi="Times New Roman" w:cs="Times New Roman"/>
          <w:sz w:val="24"/>
        </w:rPr>
        <w:t xml:space="preserve"> PKB)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regulates various cellular processes, such as apoptosis, cell proliferation,</w:t>
      </w:r>
      <w:r w:rsidRPr="006F2325">
        <w:rPr>
          <w:rFonts w:ascii="Times New Roman" w:hAnsi="Times New Roman" w:cs="Times New Roman"/>
        </w:rPr>
        <w:t xml:space="preserve"> </w:t>
      </w:r>
      <w:r w:rsidRPr="006F2325">
        <w:rPr>
          <w:rFonts w:ascii="Times New Roman" w:hAnsi="Times New Roman" w:cs="Times New Roman"/>
          <w:sz w:val="24"/>
        </w:rPr>
        <w:t>the cell cycle, protein synthesis, glucose metabolism, and telomere activity. Corneal epithelial cells (CECs) are the outermost cells of the cornea; they maintain good optical performance and act as a physical and immune barrier.</w:t>
      </w:r>
      <w:r w:rsidRPr="006F2325">
        <w:rPr>
          <w:rFonts w:ascii="Times New Roman" w:hAnsi="Times New Roman" w:cs="Times New Roman"/>
          <w:b/>
          <w:sz w:val="24"/>
        </w:rPr>
        <w:t xml:space="preserve"> </w:t>
      </w:r>
      <w:r w:rsidRPr="006F2325">
        <w:rPr>
          <w:rFonts w:ascii="Times New Roman" w:hAnsi="Times New Roman" w:cs="Times New Roman"/>
          <w:sz w:val="24"/>
        </w:rPr>
        <w:t xml:space="preserve">Various growth factors, including epidermal growth factor receptor (EGFR) ligands, insulin-like growth factor 1 (IGF1), </w:t>
      </w:r>
      <w:r w:rsidRPr="006F2325">
        <w:rPr>
          <w:rFonts w:ascii="Times New Roman" w:hAnsi="Times New Roman" w:cs="Times New Roman"/>
          <w:color w:val="000000" w:themeColor="text1"/>
          <w:sz w:val="24"/>
          <w:szCs w:val="24"/>
          <w:shd w:val="clear" w:color="auto" w:fill="FFFFFF"/>
        </w:rPr>
        <w:t>neurokinin </w:t>
      </w:r>
      <w:r w:rsidRPr="006F2325">
        <w:rPr>
          <w:rStyle w:val="af0"/>
          <w:rFonts w:ascii="Times New Roman" w:hAnsi="Times New Roman" w:cs="Times New Roman"/>
          <w:i w:val="0"/>
          <w:iCs w:val="0"/>
          <w:color w:val="000000" w:themeColor="text1"/>
          <w:sz w:val="24"/>
          <w:szCs w:val="24"/>
          <w:shd w:val="clear" w:color="auto" w:fill="FFFFFF"/>
        </w:rPr>
        <w:t>1</w:t>
      </w:r>
      <w:r w:rsidRPr="006F2325">
        <w:rPr>
          <w:rFonts w:ascii="Times New Roman" w:hAnsi="Times New Roman" w:cs="Times New Roman"/>
          <w:color w:val="000000" w:themeColor="text1"/>
          <w:sz w:val="24"/>
        </w:rPr>
        <w:t xml:space="preserve"> </w:t>
      </w:r>
      <w:r w:rsidRPr="006F2325">
        <w:rPr>
          <w:rFonts w:ascii="Times New Roman" w:hAnsi="Times New Roman" w:cs="Times New Roman"/>
          <w:sz w:val="24"/>
        </w:rPr>
        <w:t xml:space="preserve">(NK-1), and insulin activate 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 by binding their receptors and promote antiapoptotic, anti-inflammatory, proliferative, and migratory functions and wound healing in the corneal </w:t>
      </w:r>
      <w:r w:rsidRPr="006F2325">
        <w:rPr>
          <w:rFonts w:ascii="Times New Roman" w:hAnsi="Times New Roman" w:cs="Times New Roman"/>
          <w:sz w:val="24"/>
        </w:rPr>
        <w:lastRenderedPageBreak/>
        <w:t xml:space="preserve">epithelium (CE). </w:t>
      </w:r>
      <w:bookmarkStart w:id="4" w:name="_Hlk90479341"/>
      <w:r w:rsidRPr="006F2325">
        <w:rPr>
          <w:rFonts w:ascii="Times New Roman" w:hAnsi="Times New Roman" w:cs="Times New Roman"/>
          <w:sz w:val="24"/>
          <w:szCs w:val="24"/>
        </w:rPr>
        <w:t>Reactive oxygen species</w:t>
      </w:r>
      <w:r w:rsidRPr="006F2325">
        <w:rPr>
          <w:rFonts w:ascii="Times New Roman" w:hAnsi="Times New Roman" w:cs="Times New Roman"/>
          <w:sz w:val="24"/>
        </w:rPr>
        <w:t xml:space="preserve"> (ROS) regulate apoptosis and inflammation in</w:t>
      </w:r>
      <w:r w:rsidRPr="006F2325">
        <w:rPr>
          <w:rFonts w:ascii="Times New Roman" w:hAnsi="Times New Roman" w:cs="Times New Roman"/>
        </w:rPr>
        <w:t xml:space="preserve"> </w:t>
      </w:r>
      <w:r w:rsidRPr="006F2325">
        <w:rPr>
          <w:rFonts w:ascii="Times New Roman" w:hAnsi="Times New Roman" w:cs="Times New Roman"/>
          <w:sz w:val="24"/>
        </w:rPr>
        <w:t>CECs in a concentration-dependent manner.</w:t>
      </w:r>
      <w:bookmarkEnd w:id="4"/>
      <w:r w:rsidRPr="006F2325">
        <w:rPr>
          <w:rFonts w:ascii="Times New Roman" w:hAnsi="Times New Roman" w:cs="Times New Roman"/>
        </w:rPr>
        <w:t xml:space="preserve"> </w:t>
      </w:r>
      <w:r w:rsidRPr="006F2325">
        <w:rPr>
          <w:rFonts w:ascii="Times New Roman" w:hAnsi="Times New Roman" w:cs="Times New Roman"/>
          <w:sz w:val="24"/>
        </w:rPr>
        <w:t>Extreme environments induce excess ROS accumulation, inhibit PI3K/AKT, and cause apoptosis and inflammation in CECs. However,</w:t>
      </w:r>
      <w:r w:rsidRPr="006F2325">
        <w:rPr>
          <w:rFonts w:ascii="Times New Roman" w:hAnsi="Times New Roman" w:cs="Times New Roman"/>
        </w:rPr>
        <w:t xml:space="preserve"> </w:t>
      </w:r>
      <w:r w:rsidRPr="006F2325">
        <w:rPr>
          <w:rFonts w:ascii="Times New Roman" w:hAnsi="Times New Roman" w:cs="Times New Roman"/>
          <w:sz w:val="24"/>
        </w:rPr>
        <w:t xml:space="preserve">at low or moderate levels, ROS activate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inhibiting apoptosis and stimulating proliferation of healthy CECs. </w:t>
      </w:r>
      <w:bookmarkStart w:id="5" w:name="_Hlk90479779"/>
      <w:r w:rsidRPr="00720828">
        <w:rPr>
          <w:rFonts w:ascii="Times New Roman" w:hAnsi="Times New Roman" w:cs="Times New Roman"/>
          <w:sz w:val="24"/>
          <w:highlight w:val="yellow"/>
        </w:rPr>
        <w:t>Diabetes</w:t>
      </w:r>
      <w:r w:rsidR="006F2325" w:rsidRPr="00720828">
        <w:rPr>
          <w:rFonts w:ascii="Times New Roman" w:hAnsi="Times New Roman" w:cs="Times New Roman"/>
          <w:sz w:val="24"/>
          <w:highlight w:val="yellow"/>
        </w:rPr>
        <w:t>-associated</w:t>
      </w:r>
      <w:r w:rsidRPr="006F2325">
        <w:rPr>
          <w:rFonts w:ascii="Times New Roman" w:hAnsi="Times New Roman" w:cs="Times New Roman"/>
          <w:sz w:val="24"/>
        </w:rPr>
        <w:t xml:space="preserve"> </w:t>
      </w:r>
      <w:r w:rsidRPr="006F2325">
        <w:rPr>
          <w:rFonts w:ascii="Times New Roman" w:hAnsi="Times New Roman" w:cs="Times New Roman"/>
          <w:color w:val="000000" w:themeColor="text1"/>
          <w:sz w:val="24"/>
          <w:u w:color="FFFFFF" w:themeColor="background1"/>
        </w:rPr>
        <w:t>hyperglycaemia</w:t>
      </w:r>
      <w:r w:rsidRPr="006F2325">
        <w:rPr>
          <w:rFonts w:ascii="Times New Roman" w:hAnsi="Times New Roman" w:cs="Times New Roman"/>
          <w:sz w:val="24"/>
        </w:rPr>
        <w:t xml:space="preserve"> directly inhibit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by increasing ROS and endoplasmic reticulum (ER) stress levels or suppressing the expression of growth factors receptors and cause diabetic keratopathy (DK) in CECs. Similarly,</w:t>
      </w:r>
      <w:r w:rsidRPr="006F2325">
        <w:rPr>
          <w:rFonts w:ascii="Times New Roman" w:hAnsi="Times New Roman" w:cs="Times New Roman"/>
        </w:rPr>
        <w:t xml:space="preserve"> </w:t>
      </w:r>
      <w:bookmarkStart w:id="6" w:name="_Hlk99367993"/>
      <w:r w:rsidRPr="006F2325">
        <w:rPr>
          <w:rFonts w:ascii="Times New Roman" w:hAnsi="Times New Roman" w:cs="Times New Roman"/>
          <w:sz w:val="24"/>
        </w:rPr>
        <w:t>hyperosmolarity</w:t>
      </w:r>
      <w:bookmarkEnd w:id="6"/>
      <w:r w:rsidRPr="006F2325">
        <w:rPr>
          <w:rFonts w:ascii="Times New Roman" w:hAnsi="Times New Roman" w:cs="Times New Roman"/>
          <w:sz w:val="24"/>
        </w:rPr>
        <w:t xml:space="preserve"> and ROS accumulation suppress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in dry eye disease (DED). However, </w:t>
      </w:r>
      <w:bookmarkEnd w:id="5"/>
      <w:r w:rsidRPr="006F2325">
        <w:rPr>
          <w:rFonts w:ascii="Times New Roman" w:hAnsi="Times New Roman" w:cs="Times New Roman"/>
          <w:sz w:val="24"/>
        </w:rPr>
        <w:t xml:space="preserve">significant overactivation of the PI3K/AKT signalling pathway, which mediates inflammation in CECs, is observed in both infectious and noninfectious keratitis. </w:t>
      </w:r>
      <w:bookmarkStart w:id="7" w:name="_Hlk99195273"/>
      <w:r w:rsidRPr="006F2325">
        <w:rPr>
          <w:rFonts w:ascii="Times New Roman" w:hAnsi="Times New Roman" w:cs="Times New Roman"/>
          <w:sz w:val="24"/>
        </w:rPr>
        <w:t xml:space="preserve">Overall, upon activation by growth factors and NK-1,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promotes the proliferation, migration, and anti-apoptosis of CECs, and these processes can be regulated by ROS</w:t>
      </w:r>
      <w:r w:rsidRPr="006F2325">
        <w:rPr>
          <w:rFonts w:ascii="Times New Roman" w:hAnsi="Times New Roman" w:cs="Times New Roman"/>
        </w:rPr>
        <w:t xml:space="preserve"> </w:t>
      </w:r>
      <w:r w:rsidRPr="006F2325">
        <w:rPr>
          <w:rFonts w:ascii="Times New Roman" w:hAnsi="Times New Roman" w:cs="Times New Roman"/>
          <w:sz w:val="24"/>
        </w:rPr>
        <w:t xml:space="preserve">in a concentration-dependent manner. Moreover,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 is inhibited in CECs from individuals with DK and DED, but is overactivated by keratitis.</w:t>
      </w:r>
      <w:bookmarkEnd w:id="3"/>
      <w:bookmarkEnd w:id="7"/>
    </w:p>
    <w:p w14:paraId="76B90E5C"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b/>
          <w:sz w:val="24"/>
        </w:rPr>
        <w:t>Keywords:</w:t>
      </w:r>
      <w:r w:rsidRPr="006F2325">
        <w:rPr>
          <w:rFonts w:ascii="Times New Roman" w:hAnsi="Times New Roman" w:cs="Times New Roman"/>
          <w:sz w:val="24"/>
        </w:rPr>
        <w:t xml:space="preserve"> PI3K, AKT, corneal epithelial cells, corneal epithelium, wound healing</w:t>
      </w:r>
    </w:p>
    <w:p w14:paraId="3468DBBB" w14:textId="77777777" w:rsidR="001514EF" w:rsidRPr="006F2325" w:rsidRDefault="001514EF">
      <w:pPr>
        <w:spacing w:line="480" w:lineRule="auto"/>
        <w:rPr>
          <w:rFonts w:ascii="Times New Roman" w:hAnsi="Times New Roman" w:cs="Times New Roman"/>
          <w:b/>
          <w:sz w:val="30"/>
          <w:szCs w:val="30"/>
        </w:rPr>
      </w:pPr>
      <w:r w:rsidRPr="006F2325">
        <w:rPr>
          <w:rFonts w:ascii="Times New Roman" w:hAnsi="Times New Roman" w:cs="Times New Roman"/>
          <w:b/>
          <w:sz w:val="30"/>
          <w:szCs w:val="30"/>
        </w:rPr>
        <w:t>Facts</w:t>
      </w:r>
    </w:p>
    <w:p w14:paraId="35C25599" w14:textId="77777777" w:rsidR="001514EF" w:rsidRPr="006F2325" w:rsidRDefault="001514EF">
      <w:pPr>
        <w:spacing w:line="480" w:lineRule="auto"/>
        <w:rPr>
          <w:rFonts w:ascii="Times New Roman" w:hAnsi="Times New Roman" w:cs="Times New Roman"/>
          <w:sz w:val="24"/>
        </w:rPr>
      </w:pPr>
      <w:bookmarkStart w:id="8" w:name="_Hlk103271340"/>
      <w:r w:rsidRPr="006F2325">
        <w:rPr>
          <w:rFonts w:ascii="Times New Roman" w:hAnsi="Times New Roman" w:cs="Times New Roman"/>
          <w:sz w:val="24"/>
        </w:rPr>
        <w:t xml:space="preserve">CECs are present in the outermost layer of the cornea and play an important role in maintaining </w:t>
      </w:r>
      <w:r w:rsidR="006F2325" w:rsidRPr="00720828">
        <w:rPr>
          <w:rFonts w:ascii="Times New Roman" w:hAnsi="Times New Roman" w:cs="Times New Roman"/>
          <w:sz w:val="24"/>
          <w:highlight w:val="yellow"/>
        </w:rPr>
        <w:t>CE</w:t>
      </w:r>
      <w:r w:rsidRPr="006F2325">
        <w:rPr>
          <w:rFonts w:ascii="Times New Roman" w:hAnsi="Times New Roman" w:cs="Times New Roman"/>
          <w:sz w:val="24"/>
        </w:rPr>
        <w:t xml:space="preserve"> homeostasis and optical function.</w:t>
      </w:r>
    </w:p>
    <w:p w14:paraId="7B5A9F0D"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sz w:val="24"/>
        </w:rPr>
        <w:t xml:space="preserve">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 is widely involved in the proliferation, apoptosis, migration, and other functions of CECs.</w:t>
      </w:r>
    </w:p>
    <w:p w14:paraId="5E94B912"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sz w:val="24"/>
        </w:rPr>
        <w:lastRenderedPageBreak/>
        <w:t xml:space="preserve">Many corneal diseases and wound healing are associated with 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and its interaction with </w:t>
      </w:r>
      <w:r w:rsidRPr="00720828">
        <w:rPr>
          <w:rFonts w:ascii="Times New Roman" w:hAnsi="Times New Roman" w:cs="Times New Roman"/>
          <w:sz w:val="24"/>
          <w:highlight w:val="yellow"/>
        </w:rPr>
        <w:t>ROS</w:t>
      </w:r>
      <w:r w:rsidRPr="006F2325">
        <w:rPr>
          <w:rFonts w:ascii="Times New Roman" w:hAnsi="Times New Roman" w:cs="Times New Roman"/>
          <w:sz w:val="24"/>
        </w:rPr>
        <w:t>.</w:t>
      </w:r>
    </w:p>
    <w:p w14:paraId="0A8CD16B" w14:textId="77777777" w:rsidR="001514EF" w:rsidRPr="006F2325" w:rsidRDefault="001514EF">
      <w:pPr>
        <w:spacing w:line="480" w:lineRule="auto"/>
        <w:rPr>
          <w:rFonts w:ascii="Times New Roman" w:hAnsi="Times New Roman" w:cs="Times New Roman"/>
          <w:u w:val="single"/>
        </w:rPr>
      </w:pPr>
      <w:r w:rsidRPr="006F2325">
        <w:rPr>
          <w:rFonts w:ascii="Times New Roman" w:hAnsi="Times New Roman" w:cs="Times New Roman"/>
          <w:b/>
          <w:sz w:val="30"/>
          <w:szCs w:val="30"/>
        </w:rPr>
        <w:t>Open questions</w:t>
      </w:r>
    </w:p>
    <w:p w14:paraId="574A9C3C"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sz w:val="24"/>
        </w:rPr>
        <w:t xml:space="preserve">How do CECs respond to different environmental conditions, such as health and disease states, through 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w:t>
      </w:r>
    </w:p>
    <w:p w14:paraId="645883A2"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sz w:val="24"/>
        </w:rPr>
        <w:t xml:space="preserve">How does 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 interact with </w:t>
      </w:r>
      <w:r w:rsidR="006F2325" w:rsidRPr="00720828">
        <w:rPr>
          <w:rFonts w:ascii="Times New Roman" w:hAnsi="Times New Roman" w:cs="Times New Roman"/>
          <w:sz w:val="24"/>
          <w:highlight w:val="yellow"/>
        </w:rPr>
        <w:t>ROS</w:t>
      </w:r>
      <w:r w:rsidRPr="006F2325">
        <w:rPr>
          <w:rFonts w:ascii="Times New Roman" w:hAnsi="Times New Roman" w:cs="Times New Roman"/>
          <w:sz w:val="24"/>
        </w:rPr>
        <w:t xml:space="preserve"> in CECs to control the cellular response and influence disease progression?</w:t>
      </w:r>
    </w:p>
    <w:p w14:paraId="32BED5E3" w14:textId="77777777" w:rsidR="001514EF" w:rsidRPr="006F2325" w:rsidRDefault="001514EF">
      <w:pPr>
        <w:spacing w:line="480" w:lineRule="auto"/>
        <w:rPr>
          <w:rFonts w:ascii="Times New Roman" w:hAnsi="Times New Roman" w:cs="Times New Roman"/>
          <w:sz w:val="24"/>
        </w:rPr>
      </w:pPr>
      <w:r w:rsidRPr="006F2325">
        <w:rPr>
          <w:rFonts w:ascii="Times New Roman" w:hAnsi="Times New Roman" w:cs="Times New Roman"/>
          <w:sz w:val="24"/>
        </w:rPr>
        <w:t xml:space="preserve">Can the PI3K/AKT </w:t>
      </w:r>
      <w:r w:rsidRPr="006F2325">
        <w:rPr>
          <w:rFonts w:ascii="Times New Roman" w:hAnsi="Times New Roman" w:cs="Times New Roman"/>
          <w:color w:val="000000" w:themeColor="text1"/>
          <w:sz w:val="24"/>
          <w:u w:color="FFFFFF" w:themeColor="background1"/>
        </w:rPr>
        <w:t>signalling</w:t>
      </w:r>
      <w:r w:rsidRPr="006F2325">
        <w:rPr>
          <w:rFonts w:ascii="Times New Roman" w:hAnsi="Times New Roman" w:cs="Times New Roman"/>
          <w:sz w:val="24"/>
        </w:rPr>
        <w:t xml:space="preserve"> pathway be used as a major target for the treatment of corneal diseases in the future?</w:t>
      </w:r>
    </w:p>
    <w:p w14:paraId="15A0F5C2" w14:textId="74A35F4E" w:rsidR="002C20A4" w:rsidRPr="006F2325" w:rsidRDefault="002C20A4" w:rsidP="002C20A4">
      <w:pPr>
        <w:spacing w:line="480" w:lineRule="auto"/>
        <w:rPr>
          <w:rFonts w:ascii="Times New Roman" w:eastAsia="等线" w:hAnsi="Times New Roman" w:cs="Times New Roman"/>
          <w:b/>
          <w:sz w:val="30"/>
          <w:szCs w:val="30"/>
        </w:rPr>
      </w:pPr>
      <w:bookmarkStart w:id="9" w:name="_Hlk94259734"/>
      <w:bookmarkEnd w:id="8"/>
      <w:r>
        <w:rPr>
          <w:rFonts w:ascii="Times New Roman" w:eastAsia="等线" w:hAnsi="Times New Roman" w:cs="Times New Roman" w:hint="eastAsia"/>
          <w:b/>
          <w:sz w:val="30"/>
          <w:szCs w:val="30"/>
        </w:rPr>
        <w:t>1.</w:t>
      </w:r>
      <w:r>
        <w:rPr>
          <w:rFonts w:ascii="Times New Roman" w:eastAsia="等线" w:hAnsi="Times New Roman" w:cs="Times New Roman"/>
          <w:b/>
          <w:sz w:val="30"/>
          <w:szCs w:val="30"/>
        </w:rPr>
        <w:t xml:space="preserve"> </w:t>
      </w:r>
      <w:r>
        <w:rPr>
          <w:rFonts w:ascii="Times New Roman" w:eastAsia="等线" w:hAnsi="Times New Roman" w:cs="Times New Roman" w:hint="eastAsia"/>
          <w:b/>
          <w:sz w:val="30"/>
          <w:szCs w:val="30"/>
        </w:rPr>
        <w:t>I</w:t>
      </w:r>
      <w:r w:rsidRPr="006F2325">
        <w:rPr>
          <w:rFonts w:ascii="Times New Roman" w:eastAsia="等线" w:hAnsi="Times New Roman" w:cs="Times New Roman"/>
          <w:b/>
          <w:sz w:val="30"/>
          <w:szCs w:val="30"/>
        </w:rPr>
        <w:t>ntroduction</w:t>
      </w:r>
    </w:p>
    <w:p w14:paraId="5B00D842"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color w:val="000000" w:themeColor="text1"/>
          <w:sz w:val="24"/>
          <w:szCs w:val="24"/>
        </w:rPr>
        <w:t xml:space="preserve">In 1987, Staal first discovered a proto-oncogene, i.e., the </w:t>
      </w:r>
      <w:r w:rsidRPr="006F2325">
        <w:rPr>
          <w:rFonts w:ascii="Times New Roman" w:eastAsia="等线" w:hAnsi="Times New Roman" w:cs="Times New Roman"/>
          <w:i/>
          <w:color w:val="000000" w:themeColor="text1"/>
          <w:sz w:val="24"/>
          <w:szCs w:val="24"/>
        </w:rPr>
        <w:t>AKT1</w:t>
      </w:r>
      <w:r w:rsidRPr="006F2325">
        <w:rPr>
          <w:rFonts w:ascii="Times New Roman" w:eastAsia="等线" w:hAnsi="Times New Roman" w:cs="Times New Roman"/>
          <w:color w:val="000000" w:themeColor="text1"/>
          <w:sz w:val="24"/>
          <w:szCs w:val="24"/>
        </w:rPr>
        <w:t xml:space="preserve"> gene on human chromosome 14, band q32 </w:t>
      </w:r>
      <w:r w:rsidRPr="006F2325">
        <w:rPr>
          <w:rFonts w:ascii="Times New Roman" w:eastAsia="等线" w:hAnsi="Times New Roman" w:cs="Times New Roman"/>
          <w:noProof/>
          <w:color w:val="000000" w:themeColor="text1"/>
          <w:sz w:val="24"/>
          <w:szCs w:val="24"/>
        </w:rPr>
        <w:t>[1, 2]</w:t>
      </w:r>
      <w:r w:rsidRPr="006F2325">
        <w:rPr>
          <w:rFonts w:ascii="Times New Roman" w:eastAsia="等线" w:hAnsi="Times New Roman" w:cs="Times New Roman"/>
          <w:color w:val="000000" w:themeColor="text1"/>
          <w:sz w:val="24"/>
          <w:szCs w:val="24"/>
        </w:rPr>
        <w:t>.</w:t>
      </w:r>
      <w:r w:rsidRPr="006F2325">
        <w:rPr>
          <w:rFonts w:ascii="Times New Roman" w:eastAsia="等线" w:hAnsi="Times New Roman" w:cs="Times New Roman"/>
          <w:b/>
          <w:color w:val="000000" w:themeColor="text1"/>
          <w:sz w:val="24"/>
          <w:szCs w:val="24"/>
        </w:rPr>
        <w:t xml:space="preserve"> </w:t>
      </w:r>
      <w:r w:rsidRPr="006F2325">
        <w:rPr>
          <w:rFonts w:ascii="Times New Roman" w:eastAsia="等线" w:hAnsi="Times New Roman" w:cs="Times New Roman"/>
          <w:color w:val="000000" w:themeColor="text1"/>
          <w:sz w:val="24"/>
          <w:szCs w:val="24"/>
        </w:rPr>
        <w:t>In subsequent years, a lot of studies gradually revealed the intracellular signal transduction cascade centred on phosphatidylinositol 3 kinase (PI3K) and AKT, named the PI3K/AKT signalling pathway. The process of the PI3K/AKT signalling pathway mainly includes binding of exogenous factors to receptors, receptor activation of PI3K phosphorylation, PI3K-induced phosphorylation of AKT, and initiation of downstream effectors</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noProof/>
          <w:sz w:val="24"/>
          <w:szCs w:val="24"/>
        </w:rPr>
        <w:t>[3]</w:t>
      </w:r>
      <w:r w:rsidRPr="006F2325">
        <w:rPr>
          <w:rFonts w:ascii="Times New Roman" w:eastAsia="等线" w:hAnsi="Times New Roman" w:cs="Times New Roman"/>
          <w:sz w:val="24"/>
          <w:szCs w:val="24"/>
        </w:rPr>
        <w:t xml:space="preserve">. Activated PI3K further catalyses the production of the second messenger phosphatidylinositol-3,4,5-triphosphate (PIP3). The binding of PIP3 to the PH domain and plasma membrane translocation of AKT trigger its phosphorylation </w:t>
      </w:r>
      <w:r w:rsidRPr="006F2325">
        <w:rPr>
          <w:rFonts w:ascii="Times New Roman" w:eastAsia="等线" w:hAnsi="Times New Roman" w:cs="Times New Roman"/>
          <w:noProof/>
          <w:sz w:val="24"/>
          <w:szCs w:val="24"/>
        </w:rPr>
        <w:t>[4]</w:t>
      </w:r>
      <w:r w:rsidRPr="006F2325">
        <w:rPr>
          <w:rFonts w:ascii="Times New Roman" w:eastAsia="等线" w:hAnsi="Times New Roman" w:cs="Times New Roman"/>
          <w:sz w:val="24"/>
          <w:szCs w:val="24"/>
        </w:rPr>
        <w:t xml:space="preserve">. </w:t>
      </w:r>
      <w:r w:rsidRPr="00720828">
        <w:rPr>
          <w:rFonts w:ascii="Times New Roman" w:eastAsia="等线" w:hAnsi="Times New Roman" w:cs="Times New Roman"/>
          <w:sz w:val="24"/>
          <w:szCs w:val="24"/>
          <w:highlight w:val="yellow"/>
        </w:rPr>
        <w:t>After that,</w:t>
      </w:r>
      <w:r w:rsidRPr="006F2325">
        <w:rPr>
          <w:rFonts w:ascii="Times New Roman" w:eastAsia="等线" w:hAnsi="Times New Roman" w:cs="Times New Roman"/>
          <w:sz w:val="24"/>
          <w:szCs w:val="24"/>
        </w:rPr>
        <w:t xml:space="preserve"> PI3K/AKT activates the phosphorylation or complex formation of downstream molecules, including glycogen synthase kinase 3β (</w:t>
      </w:r>
      <w:smartTag w:uri="urn:schemas-microsoft-com:office:smarttags" w:element="stockticker">
        <w:r w:rsidRPr="006F2325">
          <w:rPr>
            <w:rFonts w:ascii="Times New Roman" w:eastAsia="等线" w:hAnsi="Times New Roman" w:cs="Times New Roman"/>
            <w:sz w:val="24"/>
            <w:szCs w:val="24"/>
          </w:rPr>
          <w:t>GSK</w:t>
        </w:r>
      </w:smartTag>
      <w:r w:rsidRPr="006F2325">
        <w:rPr>
          <w:rFonts w:ascii="Times New Roman" w:eastAsia="等线" w:hAnsi="Times New Roman" w:cs="Times New Roman"/>
          <w:sz w:val="24"/>
          <w:szCs w:val="24"/>
        </w:rPr>
        <w:t xml:space="preserve">3β), mammalian target of rapamycin (mTOR), and actin-related proteins </w:t>
      </w:r>
      <w:r w:rsidRPr="006F2325">
        <w:rPr>
          <w:rFonts w:ascii="Times New Roman" w:eastAsia="等线" w:hAnsi="Times New Roman" w:cs="Times New Roman"/>
          <w:noProof/>
          <w:sz w:val="24"/>
          <w:szCs w:val="24"/>
        </w:rPr>
        <w:t>[5, 6]</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sz w:val="24"/>
          <w:szCs w:val="24"/>
        </w:rPr>
        <w:lastRenderedPageBreak/>
        <w:t xml:space="preserve">These molecules then regulate metabolic functions, such as gluconeogenesis, protein synthesis, cell cycle, migration and apoptosis </w:t>
      </w:r>
      <w:r w:rsidRPr="006F2325">
        <w:rPr>
          <w:rFonts w:ascii="Times New Roman" w:eastAsia="等线" w:hAnsi="Times New Roman" w:cs="Times New Roman"/>
          <w:noProof/>
          <w:sz w:val="24"/>
          <w:szCs w:val="24"/>
        </w:rPr>
        <w:t>[7]</w:t>
      </w:r>
      <w:r w:rsidRPr="006F2325">
        <w:rPr>
          <w:rFonts w:ascii="Times New Roman" w:eastAsia="等线" w:hAnsi="Times New Roman" w:cs="Times New Roman"/>
          <w:sz w:val="24"/>
          <w:szCs w:val="24"/>
        </w:rPr>
        <w:t>.</w:t>
      </w:r>
    </w:p>
    <w:p w14:paraId="4A755270"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u w:val="single"/>
        </w:rPr>
      </w:pPr>
      <w:bookmarkStart w:id="10" w:name="_Hlk98965541"/>
      <w:r w:rsidRPr="00720828">
        <w:rPr>
          <w:rFonts w:ascii="Times New Roman" w:eastAsia="等线" w:hAnsi="Times New Roman" w:cs="Times New Roman"/>
          <w:sz w:val="24"/>
          <w:szCs w:val="24"/>
          <w:highlight w:val="yellow"/>
        </w:rPr>
        <w:t>The</w:t>
      </w:r>
      <w:r w:rsidRPr="006F2325">
        <w:rPr>
          <w:rFonts w:ascii="Times New Roman" w:eastAsia="等线" w:hAnsi="Times New Roman" w:cs="Times New Roman"/>
          <w:sz w:val="24"/>
          <w:szCs w:val="24"/>
        </w:rPr>
        <w:t xml:space="preserve"> eye is a complex structure that consists of the cornea, lens, vitreous, choroid, retina, optic nerve, and other accessory structures (Figure 1). The cornea is composed of the </w:t>
      </w:r>
      <w:r w:rsidRPr="006F2325">
        <w:rPr>
          <w:rFonts w:ascii="Times New Roman" w:hAnsi="Times New Roman" w:cs="Times New Roman"/>
          <w:sz w:val="24"/>
        </w:rPr>
        <w:t>corneal epithelium (CE)</w:t>
      </w:r>
      <w:r w:rsidRPr="006F2325">
        <w:rPr>
          <w:rFonts w:ascii="Times New Roman" w:eastAsia="等线" w:hAnsi="Times New Roman" w:cs="Times New Roman"/>
          <w:sz w:val="24"/>
          <w:szCs w:val="24"/>
        </w:rPr>
        <w:t xml:space="preserve">, Bowman's layer, corneal stroma, Descemet's membrane and the endothelium. The CE is a self-renewing stratified nonkeratinized squamous epithelium that protects the inner eye tissue, forms the immune barrier, supports the tear film, and maintains transparency </w:t>
      </w:r>
      <w:r w:rsidRPr="006F2325">
        <w:rPr>
          <w:rFonts w:ascii="Times New Roman" w:eastAsia="等线" w:hAnsi="Times New Roman" w:cs="Times New Roman"/>
          <w:noProof/>
          <w:sz w:val="24"/>
          <w:szCs w:val="24"/>
        </w:rPr>
        <w:t>[8, 9]</w:t>
      </w:r>
      <w:r w:rsidRPr="006F2325">
        <w:rPr>
          <w:rFonts w:ascii="Times New Roman" w:eastAsia="等线" w:hAnsi="Times New Roman" w:cs="Times New Roman"/>
          <w:sz w:val="24"/>
          <w:szCs w:val="24"/>
        </w:rPr>
        <w:t xml:space="preserve">. </w:t>
      </w:r>
      <w:r w:rsidRPr="006F2325">
        <w:rPr>
          <w:rFonts w:ascii="Times New Roman" w:hAnsi="Times New Roman" w:cs="Times New Roman"/>
          <w:sz w:val="24"/>
        </w:rPr>
        <w:t>Corneal epithelial cells</w:t>
      </w:r>
      <w:r w:rsidRPr="006F2325">
        <w:rPr>
          <w:rFonts w:ascii="Times New Roman" w:eastAsia="等线" w:hAnsi="Times New Roman" w:cs="Times New Roman"/>
          <w:sz w:val="24"/>
          <w:szCs w:val="24"/>
        </w:rPr>
        <w:t xml:space="preserve"> (CECs) include superficial squamous cells, central suprabasal cells, and a single layer of inner columnar basal cells </w:t>
      </w:r>
      <w:r w:rsidRPr="006F2325">
        <w:rPr>
          <w:rFonts w:ascii="Times New Roman" w:eastAsia="等线" w:hAnsi="Times New Roman" w:cs="Times New Roman"/>
          <w:noProof/>
          <w:sz w:val="24"/>
          <w:szCs w:val="24"/>
        </w:rPr>
        <w:t>[10]</w:t>
      </w:r>
      <w:r w:rsidRPr="006F2325">
        <w:rPr>
          <w:rFonts w:ascii="Times New Roman" w:eastAsia="等线" w:hAnsi="Times New Roman" w:cs="Times New Roman"/>
          <w:sz w:val="24"/>
          <w:szCs w:val="24"/>
        </w:rPr>
        <w:t>.</w:t>
      </w:r>
      <w:bookmarkEnd w:id="10"/>
      <w:r w:rsidRPr="006F2325">
        <w:rPr>
          <w:rFonts w:ascii="Times New Roman" w:eastAsia="等线" w:hAnsi="Times New Roman" w:cs="Times New Roman"/>
          <w:sz w:val="24"/>
          <w:szCs w:val="24"/>
        </w:rPr>
        <w:t xml:space="preserve"> </w:t>
      </w:r>
      <w:bookmarkStart w:id="11" w:name="_Hlk98965631"/>
      <w:r w:rsidRPr="006F2325">
        <w:rPr>
          <w:rFonts w:ascii="Times New Roman" w:eastAsia="等线" w:hAnsi="Times New Roman" w:cs="Times New Roman"/>
          <w:sz w:val="24"/>
          <w:szCs w:val="24"/>
        </w:rPr>
        <w:t>During CE homeostasis, the adult CE is maintained by a comprehensive process involving cell proliferation, migration, differentiation and apoptosis.</w:t>
      </w:r>
      <w:r w:rsidRPr="00720828">
        <w:rPr>
          <w:rFonts w:ascii="Times New Roman" w:eastAsia="等线" w:hAnsi="Times New Roman" w:cs="Times New Roman"/>
          <w:sz w:val="24"/>
          <w:szCs w:val="24"/>
          <w:highlight w:val="yellow"/>
        </w:rPr>
        <w:t xml:space="preserve"> CECs</w:t>
      </w:r>
      <w:r w:rsidRPr="006F2325">
        <w:rPr>
          <w:rFonts w:ascii="Times New Roman" w:eastAsia="等线" w:hAnsi="Times New Roman" w:cs="Times New Roman"/>
          <w:sz w:val="24"/>
          <w:szCs w:val="24"/>
        </w:rPr>
        <w:t xml:space="preserve"> undergo inflammation, apoptosis </w:t>
      </w:r>
      <w:r w:rsidRPr="00720828">
        <w:rPr>
          <w:rFonts w:ascii="Times New Roman" w:eastAsia="等线" w:hAnsi="Times New Roman" w:cs="Times New Roman"/>
          <w:sz w:val="24"/>
          <w:szCs w:val="24"/>
          <w:highlight w:val="yellow"/>
        </w:rPr>
        <w:t>and/or</w:t>
      </w:r>
      <w:r w:rsidRPr="006F2325">
        <w:rPr>
          <w:rFonts w:ascii="Times New Roman" w:eastAsia="等线" w:hAnsi="Times New Roman" w:cs="Times New Roman"/>
          <w:sz w:val="24"/>
          <w:szCs w:val="24"/>
        </w:rPr>
        <w:t xml:space="preserve"> autophagy </w:t>
      </w:r>
      <w:r w:rsidRPr="00720828">
        <w:rPr>
          <w:rFonts w:ascii="Times New Roman" w:eastAsia="等线" w:hAnsi="Times New Roman" w:cs="Times New Roman"/>
          <w:sz w:val="24"/>
          <w:szCs w:val="24"/>
          <w:highlight w:val="yellow"/>
        </w:rPr>
        <w:t>when the CE is damaged, and</w:t>
      </w:r>
      <w:r w:rsidRPr="006F2325">
        <w:rPr>
          <w:rFonts w:ascii="Times New Roman" w:eastAsia="等线" w:hAnsi="Times New Roman" w:cs="Times New Roman"/>
          <w:sz w:val="24"/>
          <w:szCs w:val="24"/>
        </w:rPr>
        <w:t xml:space="preserve"> the adjacent basal cells of the CE secrete a large number of cytokines, growth factors to promote proliferation, differentiation and migration, ultimately achieving wound healing</w:t>
      </w:r>
      <w:r w:rsidRPr="006F2325">
        <w:t xml:space="preserve"> </w:t>
      </w:r>
      <w:r w:rsidRPr="006F2325">
        <w:rPr>
          <w:rFonts w:ascii="Times New Roman" w:eastAsia="等线" w:hAnsi="Times New Roman" w:cs="Times New Roman"/>
          <w:sz w:val="24"/>
          <w:szCs w:val="24"/>
        </w:rPr>
        <w:t xml:space="preserve">by regulating signalling networks in CECs </w:t>
      </w:r>
      <w:r w:rsidRPr="006F2325">
        <w:rPr>
          <w:rFonts w:ascii="Times New Roman" w:eastAsia="等线" w:hAnsi="Times New Roman" w:cs="Times New Roman"/>
          <w:noProof/>
          <w:sz w:val="24"/>
          <w:szCs w:val="24"/>
        </w:rPr>
        <w:t>[11]</w:t>
      </w:r>
      <w:r w:rsidRPr="006F2325">
        <w:rPr>
          <w:rFonts w:ascii="Times New Roman" w:eastAsia="等线" w:hAnsi="Times New Roman" w:cs="Times New Roman"/>
          <w:sz w:val="24"/>
          <w:szCs w:val="24"/>
        </w:rPr>
        <w:t>.</w:t>
      </w:r>
      <w:bookmarkEnd w:id="11"/>
      <w:r w:rsidRPr="006F2325">
        <w:rPr>
          <w:rFonts w:ascii="Times New Roman" w:eastAsia="等线" w:hAnsi="Times New Roman" w:cs="Times New Roman"/>
          <w:sz w:val="24"/>
          <w:szCs w:val="24"/>
        </w:rPr>
        <w:t xml:space="preserve"> </w:t>
      </w:r>
    </w:p>
    <w:p w14:paraId="11E87333" w14:textId="77777777" w:rsidR="002C20A4" w:rsidRPr="00720828" w:rsidRDefault="002C20A4" w:rsidP="00720828">
      <w:pPr>
        <w:spacing w:line="480" w:lineRule="auto"/>
        <w:ind w:firstLineChars="100" w:firstLine="240"/>
        <w:rPr>
          <w:rFonts w:ascii="Times New Roman" w:eastAsia="等线" w:hAnsi="Times New Roman" w:cs="Times New Roman"/>
          <w:sz w:val="24"/>
        </w:rPr>
      </w:pPr>
      <w:bookmarkStart w:id="12" w:name="_Hlk98964890"/>
      <w:r w:rsidRPr="00720828">
        <w:rPr>
          <w:rFonts w:ascii="Times New Roman" w:eastAsia="等线" w:hAnsi="Times New Roman" w:cs="Times New Roman"/>
          <w:sz w:val="24"/>
          <w:szCs w:val="24"/>
          <w:highlight w:val="yellow"/>
        </w:rPr>
        <w:t>Diabetic</w:t>
      </w:r>
      <w:r w:rsidRPr="006F2325">
        <w:rPr>
          <w:rFonts w:ascii="Times New Roman" w:eastAsia="等线" w:hAnsi="Times New Roman" w:cs="Times New Roman"/>
          <w:sz w:val="24"/>
          <w:szCs w:val="24"/>
        </w:rPr>
        <w:t xml:space="preserve"> keratopathy (DK) is caused by </w:t>
      </w:r>
      <w:r w:rsidRPr="00720828">
        <w:rPr>
          <w:rFonts w:ascii="Times New Roman" w:eastAsia="等线" w:hAnsi="Times New Roman" w:cs="Times New Roman"/>
          <w:sz w:val="24"/>
          <w:szCs w:val="24"/>
          <w:highlight w:val="yellow"/>
        </w:rPr>
        <w:t>diabetes-associated</w:t>
      </w:r>
      <w:r w:rsidRPr="006F2325">
        <w:rPr>
          <w:rFonts w:ascii="Times New Roman" w:eastAsia="等线" w:hAnsi="Times New Roman" w:cs="Times New Roman"/>
          <w:sz w:val="24"/>
          <w:szCs w:val="24"/>
        </w:rPr>
        <w:t xml:space="preserve"> hyperglycaemia</w:t>
      </w:r>
      <w:bookmarkStart w:id="13" w:name="_Hlk102567856"/>
      <w:r w:rsidRPr="006F2325">
        <w:rPr>
          <w:rFonts w:ascii="Times New Roman" w:eastAsia="等线" w:hAnsi="Times New Roman" w:cs="Times New Roman"/>
          <w:sz w:val="24"/>
          <w:szCs w:val="24"/>
        </w:rPr>
        <w:t xml:space="preserve"> (a persistent high-glucose state in blood in general) and</w:t>
      </w:r>
      <w:bookmarkEnd w:id="13"/>
      <w:r w:rsidRPr="006F2325">
        <w:rPr>
          <w:rFonts w:ascii="Times New Roman" w:eastAsia="等线" w:hAnsi="Times New Roman" w:cs="Times New Roman"/>
          <w:sz w:val="24"/>
          <w:szCs w:val="24"/>
        </w:rPr>
        <w:t xml:space="preserve"> manifests as persistent corneal epithelial erosion, superficial punctate keratopathy, delayed epithelial regeneration, and reduced corneal sensitivity, </w:t>
      </w:r>
      <w:r>
        <w:rPr>
          <w:rFonts w:ascii="Times New Roman" w:eastAsia="等线" w:hAnsi="Times New Roman" w:cs="Times New Roman"/>
          <w:sz w:val="24"/>
          <w:szCs w:val="24"/>
        </w:rPr>
        <w:t xml:space="preserve">which may </w:t>
      </w:r>
      <w:r w:rsidRPr="00720828">
        <w:rPr>
          <w:rFonts w:ascii="Times New Roman" w:eastAsia="等线" w:hAnsi="Times New Roman" w:cs="Times New Roman"/>
          <w:sz w:val="24"/>
          <w:szCs w:val="24"/>
          <w:highlight w:val="yellow"/>
        </w:rPr>
        <w:t>cause</w:t>
      </w:r>
      <w:r w:rsidRPr="006F2325">
        <w:rPr>
          <w:rFonts w:ascii="Times New Roman" w:eastAsia="等线" w:hAnsi="Times New Roman" w:cs="Times New Roman"/>
          <w:sz w:val="24"/>
          <w:szCs w:val="24"/>
        </w:rPr>
        <w:t xml:space="preserve"> impaired vision or permanent vision loss </w:t>
      </w:r>
      <w:r w:rsidRPr="006F2325">
        <w:rPr>
          <w:rFonts w:ascii="Times New Roman" w:eastAsia="等线" w:hAnsi="Times New Roman" w:cs="Times New Roman"/>
          <w:noProof/>
          <w:sz w:val="24"/>
          <w:szCs w:val="24"/>
        </w:rPr>
        <w:t>[12]</w:t>
      </w:r>
      <w:r w:rsidRPr="006F2325">
        <w:rPr>
          <w:rFonts w:ascii="Times New Roman" w:eastAsia="等线" w:hAnsi="Times New Roman" w:cs="Times New Roman"/>
          <w:sz w:val="24"/>
          <w:szCs w:val="24"/>
        </w:rPr>
        <w:t>.</w:t>
      </w:r>
      <w:bookmarkEnd w:id="12"/>
      <w:r>
        <w:rPr>
          <w:rFonts w:ascii="Times New Roman" w:eastAsia="等线" w:hAnsi="Times New Roman" w:cs="Times New Roman" w:hint="eastAsia"/>
          <w:sz w:val="24"/>
        </w:rPr>
        <w:t xml:space="preserve"> </w:t>
      </w:r>
      <w:r w:rsidRPr="006F2325">
        <w:rPr>
          <w:rFonts w:ascii="Times New Roman" w:hAnsi="Times New Roman" w:cs="Times New Roman"/>
          <w:sz w:val="24"/>
        </w:rPr>
        <w:t>Dry eye disease (DED)</w:t>
      </w:r>
      <w:r w:rsidRPr="006F2325">
        <w:rPr>
          <w:rFonts w:ascii="Times New Roman" w:eastAsia="等线" w:hAnsi="Times New Roman" w:cs="Times New Roman"/>
          <w:sz w:val="24"/>
          <w:szCs w:val="24"/>
        </w:rPr>
        <w:t xml:space="preserve"> is a multifactorial and chronic disease characterized by tear deficiency and/or evaporative dry eye</w:t>
      </w:r>
      <w:r w:rsidRPr="0033469E">
        <w:rPr>
          <w:rFonts w:ascii="Times New Roman" w:eastAsia="等线" w:hAnsi="Times New Roman" w:cs="Times New Roman"/>
          <w:sz w:val="24"/>
          <w:szCs w:val="24"/>
          <w:highlight w:val="yellow"/>
        </w:rPr>
        <w:t>,</w:t>
      </w:r>
      <w:r w:rsidRPr="006F2325">
        <w:rPr>
          <w:rFonts w:ascii="Times New Roman" w:eastAsia="等线" w:hAnsi="Times New Roman" w:cs="Times New Roman"/>
          <w:sz w:val="24"/>
          <w:szCs w:val="24"/>
        </w:rPr>
        <w:t xml:space="preserve"> </w:t>
      </w:r>
      <w:r w:rsidRPr="0033469E">
        <w:rPr>
          <w:rFonts w:ascii="Times New Roman" w:eastAsia="等线" w:hAnsi="Times New Roman" w:cs="Times New Roman"/>
          <w:sz w:val="24"/>
          <w:szCs w:val="24"/>
          <w:highlight w:val="yellow"/>
        </w:rPr>
        <w:t>and</w:t>
      </w:r>
      <w:r w:rsidRPr="006F2325">
        <w:rPr>
          <w:rFonts w:ascii="Times New Roman" w:eastAsia="等线" w:hAnsi="Times New Roman" w:cs="Times New Roman"/>
          <w:sz w:val="24"/>
          <w:szCs w:val="24"/>
        </w:rPr>
        <w:t xml:space="preserve"> causes the tear film covering the CE to adopt a local hyperosmotic state, which causes damage to the CE and delayed wound </w:t>
      </w:r>
      <w:r w:rsidRPr="006F2325">
        <w:rPr>
          <w:rFonts w:ascii="Times New Roman" w:eastAsia="等线" w:hAnsi="Times New Roman" w:cs="Times New Roman"/>
          <w:sz w:val="24"/>
          <w:szCs w:val="24"/>
        </w:rPr>
        <w:lastRenderedPageBreak/>
        <w:t xml:space="preserve">healing </w:t>
      </w:r>
      <w:r w:rsidRPr="006F2325">
        <w:rPr>
          <w:rFonts w:ascii="Times New Roman" w:eastAsia="等线" w:hAnsi="Times New Roman" w:cs="Times New Roman"/>
          <w:noProof/>
          <w:sz w:val="24"/>
          <w:szCs w:val="24"/>
        </w:rPr>
        <w:t>[13]</w:t>
      </w:r>
      <w:r w:rsidRPr="006F2325">
        <w:rPr>
          <w:rFonts w:ascii="Times New Roman" w:eastAsia="等线" w:hAnsi="Times New Roman" w:cs="Times New Roman"/>
          <w:sz w:val="24"/>
          <w:szCs w:val="24"/>
        </w:rPr>
        <w:t>.</w:t>
      </w:r>
      <w:r>
        <w:rPr>
          <w:rFonts w:ascii="Times New Roman" w:eastAsia="等线" w:hAnsi="Times New Roman" w:cs="Times New Roman" w:hint="eastAsia"/>
          <w:sz w:val="24"/>
        </w:rPr>
        <w:t xml:space="preserve"> </w:t>
      </w:r>
      <w:r w:rsidRPr="006F2325">
        <w:rPr>
          <w:rFonts w:ascii="Times New Roman" w:eastAsia="等线" w:hAnsi="Times New Roman" w:cs="Times New Roman"/>
          <w:sz w:val="24"/>
          <w:szCs w:val="24"/>
        </w:rPr>
        <w:t>Keratitis is a general term describing inflammatory damage to the cornea resulting from various causes, such as microbial infection, neurotrophin deficiency, trauma, and autoimmune disorders. Infectious keratitis refers to keratitis caused by microbial infection</w:t>
      </w:r>
      <w:r w:rsidRPr="006F2325">
        <w:rPr>
          <w:rFonts w:ascii="Times New Roman" w:hAnsi="Times New Roman" w:cs="Times New Roman"/>
        </w:rPr>
        <w:t xml:space="preserve">, </w:t>
      </w:r>
      <w:r w:rsidRPr="0033469E">
        <w:rPr>
          <w:rFonts w:ascii="Times New Roman" w:eastAsia="等线" w:hAnsi="Times New Roman" w:cs="Times New Roman"/>
          <w:sz w:val="24"/>
          <w:szCs w:val="24"/>
          <w:highlight w:val="yellow"/>
        </w:rPr>
        <w:t>and keratitis from other causes</w:t>
      </w:r>
      <w:r w:rsidRPr="006F2325">
        <w:rPr>
          <w:rFonts w:ascii="Times New Roman" w:eastAsia="等线" w:hAnsi="Times New Roman" w:cs="Times New Roman"/>
          <w:sz w:val="24"/>
          <w:szCs w:val="24"/>
        </w:rPr>
        <w:t xml:space="preserve"> is called noninfectious keratitis. Corneal epithelial defects and delayed wound healing caused by inflammation are important clinical manifestations of keratitis </w:t>
      </w:r>
      <w:r w:rsidRPr="006F2325">
        <w:rPr>
          <w:rFonts w:ascii="Times New Roman" w:eastAsia="等线" w:hAnsi="Times New Roman" w:cs="Times New Roman"/>
          <w:noProof/>
          <w:sz w:val="24"/>
          <w:szCs w:val="24"/>
        </w:rPr>
        <w:t>[14, 15]</w:t>
      </w:r>
      <w:r w:rsidRPr="006F2325">
        <w:rPr>
          <w:rFonts w:ascii="Times New Roman" w:eastAsia="等线" w:hAnsi="Times New Roman" w:cs="Times New Roman"/>
          <w:sz w:val="24"/>
          <w:szCs w:val="24"/>
        </w:rPr>
        <w:t>.</w:t>
      </w:r>
    </w:p>
    <w:p w14:paraId="1D981D35"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plays an important role in the biological responses of CECs </w:t>
      </w:r>
      <w:r w:rsidRPr="006F2325">
        <w:rPr>
          <w:rFonts w:ascii="Times New Roman" w:eastAsia="等线" w:hAnsi="Times New Roman" w:cs="Times New Roman"/>
          <w:noProof/>
          <w:sz w:val="24"/>
          <w:szCs w:val="24"/>
        </w:rPr>
        <w:t>[16-19]</w:t>
      </w:r>
      <w:r w:rsidRPr="006F2325">
        <w:rPr>
          <w:rFonts w:ascii="Times New Roman" w:eastAsia="等线" w:hAnsi="Times New Roman" w:cs="Times New Roman"/>
          <w:sz w:val="24"/>
          <w:szCs w:val="24"/>
        </w:rPr>
        <w:t xml:space="preserve">. </w:t>
      </w:r>
      <w:r>
        <w:rPr>
          <w:rFonts w:ascii="Times New Roman" w:eastAsia="等线" w:hAnsi="Times New Roman" w:cs="Times New Roman"/>
          <w:sz w:val="24"/>
          <w:szCs w:val="24"/>
        </w:rPr>
        <w:t>Importantly,</w:t>
      </w:r>
      <w:r w:rsidRPr="006F2325">
        <w:rPr>
          <w:rFonts w:ascii="Times New Roman" w:eastAsia="等线" w:hAnsi="Times New Roman" w:cs="Times New Roman"/>
          <w:sz w:val="24"/>
          <w:szCs w:val="24"/>
        </w:rPr>
        <w:t xml:space="preserve"> dysregulation of </w:t>
      </w:r>
      <w:r w:rsidRPr="0033469E">
        <w:rPr>
          <w:rFonts w:ascii="Times New Roman" w:eastAsia="等线" w:hAnsi="Times New Roman" w:cs="Times New Roman"/>
          <w:sz w:val="24"/>
          <w:szCs w:val="24"/>
          <w:highlight w:val="yellow"/>
        </w:rPr>
        <w:t>CE</w:t>
      </w:r>
      <w:r w:rsidRPr="006F2325">
        <w:rPr>
          <w:rFonts w:ascii="Times New Roman" w:eastAsia="等线" w:hAnsi="Times New Roman" w:cs="Times New Roman"/>
          <w:sz w:val="24"/>
          <w:szCs w:val="24"/>
        </w:rPr>
        <w:t xml:space="preserve"> homeostasis caused by impaired CEC responses is associated with many corneal diseases, such as DK, DED, and keratitis</w:t>
      </w:r>
      <w:r w:rsidRPr="006F2325" w:rsidDel="00EF5279">
        <w:rPr>
          <w:rFonts w:ascii="Times New Roman" w:eastAsia="等线" w:hAnsi="Times New Roman" w:cs="Times New Roman"/>
          <w:sz w:val="24"/>
          <w:szCs w:val="24"/>
        </w:rPr>
        <w:t xml:space="preserve"> </w:t>
      </w:r>
      <w:r w:rsidRPr="006F2325">
        <w:rPr>
          <w:rFonts w:ascii="Times New Roman" w:eastAsia="等线" w:hAnsi="Times New Roman" w:cs="Times New Roman"/>
          <w:noProof/>
          <w:sz w:val="24"/>
          <w:szCs w:val="24"/>
        </w:rPr>
        <w:t>[18, 20, 21]</w:t>
      </w:r>
      <w:r w:rsidRPr="006F2325">
        <w:rPr>
          <w:rFonts w:ascii="Times New Roman" w:eastAsia="等线" w:hAnsi="Times New Roman" w:cs="Times New Roman"/>
          <w:sz w:val="24"/>
          <w:szCs w:val="24"/>
        </w:rPr>
        <w:t xml:space="preserve">. Therefore, an in-depth understanding of the pathophysiology of CE with a focus on 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is important for maintaining the integrity of patients' corneas and seeking reliable treatments and new drugs </w:t>
      </w:r>
      <w:r w:rsidRPr="006F2325">
        <w:rPr>
          <w:rFonts w:ascii="Times New Roman" w:eastAsia="等线" w:hAnsi="Times New Roman" w:cs="Times New Roman"/>
          <w:noProof/>
          <w:sz w:val="24"/>
          <w:szCs w:val="24"/>
        </w:rPr>
        <w:t>[22, 23]</w:t>
      </w:r>
      <w:r w:rsidRPr="006F2325">
        <w:rPr>
          <w:rFonts w:ascii="Times New Roman" w:eastAsia="等线" w:hAnsi="Times New Roman" w:cs="Times New Roman"/>
          <w:sz w:val="24"/>
          <w:szCs w:val="24"/>
        </w:rPr>
        <w:t xml:space="preserve">. In this review, we provide evidence for the regulatory role of 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in CECs to support its clinical application.</w:t>
      </w:r>
    </w:p>
    <w:p w14:paraId="6FA53E23" w14:textId="1EFF83A4" w:rsidR="002C20A4" w:rsidRPr="002C20A4" w:rsidRDefault="002C20A4" w:rsidP="002C20A4">
      <w:pPr>
        <w:spacing w:line="480" w:lineRule="auto"/>
        <w:rPr>
          <w:rFonts w:ascii="Times New Roman" w:eastAsia="等线" w:hAnsi="Times New Roman" w:cs="Times New Roman"/>
          <w:b/>
          <w:color w:val="000000"/>
          <w:sz w:val="30"/>
          <w:szCs w:val="30"/>
        </w:rPr>
      </w:pPr>
      <w:bookmarkStart w:id="14" w:name="_Hlk98837074"/>
      <w:bookmarkStart w:id="15" w:name="_Hlk99993923"/>
      <w:r>
        <w:rPr>
          <w:rFonts w:ascii="Times New Roman" w:eastAsia="等线" w:hAnsi="Times New Roman" w:cs="Times New Roman" w:hint="eastAsia"/>
          <w:b/>
          <w:color w:val="000000"/>
          <w:sz w:val="30"/>
          <w:szCs w:val="30"/>
        </w:rPr>
        <w:t>2.</w:t>
      </w:r>
      <w:r>
        <w:rPr>
          <w:rFonts w:ascii="Times New Roman" w:eastAsia="等线" w:hAnsi="Times New Roman" w:cs="Times New Roman"/>
          <w:b/>
          <w:color w:val="000000"/>
          <w:sz w:val="30"/>
          <w:szCs w:val="30"/>
        </w:rPr>
        <w:t xml:space="preserve"> </w:t>
      </w:r>
      <w:r>
        <w:rPr>
          <w:rFonts w:ascii="Times New Roman" w:eastAsia="等线" w:hAnsi="Times New Roman" w:cs="Times New Roman" w:hint="eastAsia"/>
          <w:b/>
          <w:color w:val="000000"/>
          <w:sz w:val="30"/>
          <w:szCs w:val="30"/>
        </w:rPr>
        <w:t>M</w:t>
      </w:r>
      <w:r w:rsidRPr="002C20A4">
        <w:rPr>
          <w:rFonts w:ascii="Times New Roman" w:eastAsia="等线" w:hAnsi="Times New Roman" w:cs="Times New Roman"/>
          <w:b/>
          <w:color w:val="000000"/>
          <w:sz w:val="30"/>
          <w:szCs w:val="30"/>
        </w:rPr>
        <w:t>ethods</w:t>
      </w:r>
    </w:p>
    <w:p w14:paraId="314DB449"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We searched the PubMed database (https://pubmed.ncbi.nlm.nih.gov/) using the keywords “AKT AND cornea</w:t>
      </w:r>
      <w:r w:rsidRPr="006F2325">
        <w:rPr>
          <w:rFonts w:ascii="Times New Roman" w:eastAsia="等线" w:hAnsi="Times New Roman" w:cs="Times New Roman" w:hint="eastAsia"/>
          <w:sz w:val="24"/>
          <w:szCs w:val="24"/>
        </w:rPr>
        <w:t>l</w:t>
      </w:r>
      <w:r w:rsidRPr="006F2325">
        <w:rPr>
          <w:rFonts w:ascii="Times New Roman" w:eastAsia="等线" w:hAnsi="Times New Roman" w:cs="Times New Roman"/>
          <w:sz w:val="24"/>
          <w:szCs w:val="24"/>
        </w:rPr>
        <w:t xml:space="preserve"> epithelial cells” and “AKT AND corneal epithelium”. Afterwards, we carefully read and categorized the results, removed some irrelevant articles, and then focused on recent studies and reviews (published between 2015 and 2022). </w:t>
      </w:r>
      <w:bookmarkStart w:id="16" w:name="_Hlk99997972"/>
      <w:r w:rsidRPr="006F2325">
        <w:rPr>
          <w:rFonts w:ascii="Times New Roman" w:eastAsia="等线" w:hAnsi="Times New Roman" w:cs="Times New Roman"/>
          <w:sz w:val="24"/>
          <w:szCs w:val="24"/>
        </w:rPr>
        <w:t>Additional studies were discovered by consulting the reference lists of the selected articles. Most of the references cited in this review are experimental articles, although a few review articles, case reports</w:t>
      </w:r>
      <w:r>
        <w:rPr>
          <w:rFonts w:ascii="Times New Roman" w:eastAsia="等线" w:hAnsi="Times New Roman" w:cs="Times New Roman"/>
          <w:sz w:val="24"/>
          <w:szCs w:val="24"/>
        </w:rPr>
        <w:t>,</w:t>
      </w:r>
      <w:r w:rsidRPr="006F2325">
        <w:rPr>
          <w:rFonts w:ascii="Times New Roman" w:eastAsia="等线" w:hAnsi="Times New Roman" w:cs="Times New Roman"/>
          <w:sz w:val="24"/>
          <w:szCs w:val="24"/>
        </w:rPr>
        <w:t xml:space="preserve"> and book chapters are included; no other </w:t>
      </w:r>
      <w:r w:rsidRPr="006F2325">
        <w:rPr>
          <w:rFonts w:ascii="Times New Roman" w:eastAsia="等线" w:hAnsi="Times New Roman" w:cs="Times New Roman"/>
          <w:sz w:val="24"/>
          <w:szCs w:val="24"/>
        </w:rPr>
        <w:lastRenderedPageBreak/>
        <w:t xml:space="preserve">types of literature are cited. </w:t>
      </w:r>
      <w:bookmarkEnd w:id="16"/>
      <w:r w:rsidRPr="006F2325">
        <w:rPr>
          <w:rFonts w:ascii="Times New Roman" w:eastAsia="等线" w:hAnsi="Times New Roman" w:cs="Times New Roman"/>
          <w:sz w:val="24"/>
          <w:szCs w:val="24"/>
        </w:rPr>
        <w:t>Our figures were edited with Adobe Illustrator CC 2018 software</w:t>
      </w:r>
      <w:r w:rsidRPr="002C20A4">
        <w:rPr>
          <w:rFonts w:ascii="Times New Roman" w:hAnsi="Times New Roman" w:cs="Times New Roman"/>
        </w:rPr>
        <w:t xml:space="preserve"> </w:t>
      </w:r>
      <w:r w:rsidRPr="006F2325">
        <w:rPr>
          <w:rFonts w:ascii="Times New Roman" w:eastAsia="等线" w:hAnsi="Times New Roman" w:cs="Times New Roman"/>
          <w:sz w:val="24"/>
          <w:szCs w:val="24"/>
        </w:rPr>
        <w:t>(Adobe, San Jose, CA).</w:t>
      </w:r>
      <w:bookmarkEnd w:id="14"/>
    </w:p>
    <w:bookmarkEnd w:id="15"/>
    <w:p w14:paraId="0D0A19D5" w14:textId="77777777" w:rsidR="002C20A4" w:rsidRPr="006F2325" w:rsidRDefault="002C20A4" w:rsidP="006F2325">
      <w:pPr>
        <w:spacing w:line="480" w:lineRule="auto"/>
        <w:rPr>
          <w:rFonts w:ascii="Times New Roman" w:eastAsia="等线" w:hAnsi="Times New Roman" w:cs="Times New Roman"/>
          <w:b/>
          <w:color w:val="000000"/>
          <w:sz w:val="30"/>
          <w:szCs w:val="30"/>
        </w:rPr>
      </w:pPr>
      <w:r w:rsidRPr="006F2325">
        <w:rPr>
          <w:rFonts w:ascii="Times New Roman" w:eastAsia="等线" w:hAnsi="Times New Roman" w:cs="Times New Roman"/>
          <w:b/>
          <w:color w:val="000000"/>
          <w:sz w:val="30"/>
          <w:szCs w:val="30"/>
        </w:rPr>
        <w:t>3. Roles of growth factors and other hormones in the regulation of CEC functions</w:t>
      </w:r>
    </w:p>
    <w:p w14:paraId="578DB487" w14:textId="77777777" w:rsidR="002C20A4" w:rsidRPr="006F2325" w:rsidRDefault="002C20A4" w:rsidP="006F2325">
      <w:pPr>
        <w:spacing w:line="480" w:lineRule="auto"/>
        <w:ind w:firstLineChars="100" w:firstLine="240"/>
        <w:rPr>
          <w:rFonts w:ascii="Times New Roman" w:eastAsia="等线" w:hAnsi="Times New Roman" w:cs="Times New Roman"/>
          <w:color w:val="000000"/>
          <w:sz w:val="24"/>
          <w:szCs w:val="24"/>
        </w:rPr>
      </w:pPr>
      <w:r w:rsidRPr="006F2325">
        <w:rPr>
          <w:rFonts w:ascii="Times New Roman" w:eastAsia="等线" w:hAnsi="Times New Roman" w:cs="Times New Roman"/>
          <w:color w:val="000000"/>
          <w:sz w:val="24"/>
          <w:szCs w:val="24"/>
        </w:rPr>
        <w:t>Growth factors and hormones activate PI3K/AKT</w:t>
      </w:r>
      <w:r w:rsidRPr="006F2325" w:rsidDel="00297D97">
        <w:rPr>
          <w:rFonts w:ascii="Times New Roman" w:eastAsia="等线" w:hAnsi="Times New Roman" w:cs="Times New Roman"/>
          <w:color w:val="000000"/>
          <w:sz w:val="24"/>
          <w:szCs w:val="24"/>
        </w:rPr>
        <w:t xml:space="preserve">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color w:val="000000"/>
          <w:sz w:val="24"/>
          <w:szCs w:val="24"/>
        </w:rPr>
        <w:t xml:space="preserve"> in CECs, which regulates apoptosis, proliferation, migration, and wound healing</w:t>
      </w:r>
      <w:bookmarkStart w:id="17" w:name="_Hlk99994008"/>
      <w:r w:rsidRPr="006F2325">
        <w:rPr>
          <w:rFonts w:ascii="Times New Roman" w:eastAsia="等线" w:hAnsi="Times New Roman" w:cs="Times New Roman"/>
          <w:color w:val="000000"/>
          <w:sz w:val="24"/>
          <w:szCs w:val="24"/>
        </w:rPr>
        <w:t xml:space="preserve"> (Table 1, Figure 2)</w:t>
      </w:r>
      <w:r w:rsidRPr="006F2325">
        <w:rPr>
          <w:rFonts w:ascii="Times New Roman" w:eastAsia="等线" w:hAnsi="Times New Roman" w:cs="Times New Roman"/>
          <w:sz w:val="24"/>
          <w:szCs w:val="24"/>
        </w:rPr>
        <w:t>.</w:t>
      </w:r>
      <w:bookmarkEnd w:id="17"/>
    </w:p>
    <w:p w14:paraId="72538910" w14:textId="77777777" w:rsidR="002C20A4" w:rsidRPr="006F2325" w:rsidRDefault="002C20A4" w:rsidP="006F2325">
      <w:pPr>
        <w:spacing w:line="480" w:lineRule="auto"/>
        <w:rPr>
          <w:rFonts w:ascii="Times New Roman" w:eastAsia="等线" w:hAnsi="Times New Roman" w:cs="Times New Roman"/>
          <w:b/>
          <w:sz w:val="28"/>
          <w:szCs w:val="24"/>
        </w:rPr>
      </w:pPr>
      <w:r w:rsidRPr="006F2325">
        <w:rPr>
          <w:rFonts w:ascii="Times New Roman" w:eastAsia="等线" w:hAnsi="Times New Roman" w:cs="Times New Roman"/>
          <w:b/>
          <w:sz w:val="28"/>
          <w:szCs w:val="28"/>
        </w:rPr>
        <w:t>3.1</w:t>
      </w:r>
      <w:r w:rsidRPr="006F2325">
        <w:rPr>
          <w:rFonts w:ascii="Times New Roman" w:eastAsia="等线" w:hAnsi="Times New Roman" w:cs="Times New Roman"/>
          <w:b/>
          <w:sz w:val="28"/>
          <w:szCs w:val="28"/>
        </w:rPr>
        <w:tab/>
      </w:r>
      <w:bookmarkStart w:id="18" w:name="_Hlk99651675"/>
      <w:r w:rsidRPr="006F2325">
        <w:rPr>
          <w:rFonts w:ascii="Times New Roman" w:eastAsia="等线" w:hAnsi="Times New Roman" w:cs="Times New Roman"/>
          <w:b/>
          <w:sz w:val="28"/>
          <w:szCs w:val="28"/>
        </w:rPr>
        <w:t>Epidermal growth factor</w:t>
      </w:r>
      <w:bookmarkEnd w:id="18"/>
      <w:r w:rsidRPr="006F2325">
        <w:rPr>
          <w:rFonts w:ascii="Times New Roman" w:eastAsia="等线" w:hAnsi="Times New Roman" w:cs="Times New Roman"/>
          <w:b/>
          <w:sz w:val="28"/>
          <w:szCs w:val="28"/>
        </w:rPr>
        <w:t xml:space="preserve"> receptor (EGFR) lig</w:t>
      </w:r>
      <w:r w:rsidRPr="006F2325">
        <w:rPr>
          <w:rFonts w:ascii="Times New Roman" w:eastAsia="等线" w:hAnsi="Times New Roman" w:cs="Times New Roman"/>
          <w:b/>
          <w:sz w:val="28"/>
          <w:szCs w:val="24"/>
        </w:rPr>
        <w:t xml:space="preserve">ands </w:t>
      </w:r>
    </w:p>
    <w:p w14:paraId="09BE2BD8" w14:textId="77777777" w:rsidR="002C20A4" w:rsidRPr="006F2325" w:rsidRDefault="002C20A4">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Through matrix metalloproteinase (MMP)-dependent ectodomain shedding and transactivation of EGFR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(proto-oncogene tyrosine-protein kinase Src/PI3K/AKT), </w:t>
      </w:r>
      <w:bookmarkStart w:id="19" w:name="_Hlk98788897"/>
      <w:bookmarkStart w:id="20" w:name="_Hlk99986170"/>
      <w:r w:rsidRPr="006F2325">
        <w:rPr>
          <w:rFonts w:ascii="Times New Roman" w:eastAsia="等线" w:hAnsi="Times New Roman" w:cs="Times New Roman"/>
          <w:sz w:val="24"/>
          <w:szCs w:val="24"/>
        </w:rPr>
        <w:t>EGFR</w:t>
      </w:r>
      <w:bookmarkEnd w:id="19"/>
      <w:r w:rsidRPr="006F2325">
        <w:rPr>
          <w:rFonts w:ascii="Times New Roman" w:eastAsia="等线" w:hAnsi="Times New Roman" w:cs="Times New Roman"/>
          <w:sz w:val="24"/>
          <w:szCs w:val="24"/>
        </w:rPr>
        <w:t xml:space="preserve"> ligands</w:t>
      </w:r>
      <w:bookmarkEnd w:id="20"/>
      <w:r w:rsidRPr="006F2325">
        <w:rPr>
          <w:rFonts w:ascii="Times New Roman" w:eastAsia="等线" w:hAnsi="Times New Roman" w:cs="Times New Roman"/>
          <w:sz w:val="24"/>
          <w:szCs w:val="24"/>
        </w:rPr>
        <w:t xml:space="preserve">, including epidermal growth factor (EGF), transforming growth factor-α, and heparin-binding EGF-like growth factor (HB-EGF), inhibit apoptosis and promote proliferation, migration </w:t>
      </w:r>
      <w:r w:rsidRPr="0033469E">
        <w:rPr>
          <w:rFonts w:ascii="Times New Roman" w:eastAsia="等线" w:hAnsi="Times New Roman" w:cs="Times New Roman"/>
          <w:sz w:val="24"/>
          <w:szCs w:val="24"/>
          <w:highlight w:val="yellow"/>
        </w:rPr>
        <w:t>in CECs</w:t>
      </w:r>
      <w:r w:rsidRPr="006F2325">
        <w:rPr>
          <w:rFonts w:ascii="Times New Roman" w:eastAsia="等线" w:hAnsi="Times New Roman" w:cs="Times New Roman"/>
          <w:sz w:val="24"/>
          <w:szCs w:val="24"/>
        </w:rPr>
        <w:t xml:space="preserve">, and healing of the CE </w:t>
      </w:r>
      <w:r w:rsidRPr="006F2325">
        <w:rPr>
          <w:rFonts w:ascii="Times New Roman" w:eastAsia="等线" w:hAnsi="Times New Roman" w:cs="Times New Roman"/>
          <w:noProof/>
          <w:sz w:val="24"/>
          <w:szCs w:val="24"/>
        </w:rPr>
        <w:t>[24]</w:t>
      </w:r>
      <w:r w:rsidRPr="006F2325">
        <w:rPr>
          <w:rFonts w:ascii="Times New Roman" w:eastAsia="等线" w:hAnsi="Times New Roman" w:cs="Times New Roman"/>
          <w:sz w:val="24"/>
          <w:szCs w:val="24"/>
        </w:rPr>
        <w:t>.</w:t>
      </w:r>
    </w:p>
    <w:p w14:paraId="5FA4A8DA" w14:textId="77777777" w:rsidR="002C20A4" w:rsidRPr="006F2325" w:rsidRDefault="002C20A4" w:rsidP="006F2325">
      <w:pPr>
        <w:spacing w:line="480" w:lineRule="auto"/>
        <w:ind w:firstLineChars="100" w:firstLine="240"/>
        <w:rPr>
          <w:rFonts w:ascii="Times New Roman" w:eastAsia="等线" w:hAnsi="Times New Roman" w:cs="Times New Roman"/>
          <w:color w:val="000000" w:themeColor="text1"/>
          <w:sz w:val="24"/>
          <w:szCs w:val="24"/>
        </w:rPr>
      </w:pPr>
      <w:bookmarkStart w:id="21" w:name="_Hlk99139976"/>
      <w:bookmarkStart w:id="22" w:name="_Hlk98837799"/>
      <w:bookmarkStart w:id="23" w:name="_Hlk99995423"/>
      <w:r w:rsidRPr="006F2325">
        <w:rPr>
          <w:rFonts w:ascii="Times New Roman" w:eastAsia="等线" w:hAnsi="Times New Roman" w:cs="Times New Roman"/>
          <w:sz w:val="24"/>
          <w:szCs w:val="24"/>
        </w:rPr>
        <w:t xml:space="preserve">Eukaryotic translation initiation factor 5A (eIF5A), a nucleocytoplasmic shuttle protein, is the substrate of the EGF-induced EGFR/Src/PI3K/AKT/mTOR/p70S6K/rpS6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and induces the expression of MMP-9 in the extracellular matrix and proliferating cell nuclear antigen </w:t>
      </w:r>
      <w:r w:rsidRPr="006F2325">
        <w:rPr>
          <w:rFonts w:ascii="Times New Roman" w:eastAsia="等线" w:hAnsi="Times New Roman" w:cs="Times New Roman"/>
          <w:i/>
          <w:sz w:val="24"/>
          <w:szCs w:val="24"/>
        </w:rPr>
        <w:t xml:space="preserve">in vitro </w:t>
      </w:r>
      <w:r w:rsidRPr="006F2325">
        <w:rPr>
          <w:rFonts w:ascii="Times New Roman" w:eastAsia="等线" w:hAnsi="Times New Roman" w:cs="Times New Roman"/>
          <w:noProof/>
          <w:sz w:val="24"/>
          <w:szCs w:val="24"/>
        </w:rPr>
        <w:t>[25, 26]</w:t>
      </w:r>
      <w:r w:rsidRPr="006F2325">
        <w:rPr>
          <w:rFonts w:ascii="Times New Roman" w:eastAsia="等线" w:hAnsi="Times New Roman" w:cs="Times New Roman"/>
          <w:sz w:val="24"/>
          <w:szCs w:val="24"/>
        </w:rPr>
        <w:t xml:space="preserve">. Furthermore, in mouse CECs </w:t>
      </w:r>
      <w:r w:rsidRPr="006F2325">
        <w:rPr>
          <w:rFonts w:ascii="Times New Roman" w:eastAsia="等线" w:hAnsi="Times New Roman" w:cs="Times New Roman"/>
          <w:i/>
          <w:sz w:val="24"/>
          <w:szCs w:val="24"/>
        </w:rPr>
        <w:t>in vivo</w:t>
      </w:r>
      <w:r w:rsidRPr="006F2325">
        <w:rPr>
          <w:rFonts w:ascii="Times New Roman" w:eastAsia="等线" w:hAnsi="Times New Roman" w:cs="Times New Roman"/>
          <w:sz w:val="24"/>
          <w:szCs w:val="24"/>
        </w:rPr>
        <w:t xml:space="preserve">, excess transforming growth factor-α expression promotes the expression of proliferating cell nuclear antigen </w:t>
      </w:r>
      <w:r w:rsidRPr="006F2325">
        <w:rPr>
          <w:rFonts w:ascii="Times New Roman" w:eastAsia="等线" w:hAnsi="Times New Roman" w:cs="Times New Roman" w:hint="eastAsia"/>
          <w:sz w:val="24"/>
          <w:szCs w:val="24"/>
        </w:rPr>
        <w:t>likely</w:t>
      </w:r>
      <w:r w:rsidRPr="006F2325">
        <w:rPr>
          <w:rFonts w:ascii="Times New Roman" w:eastAsia="等线" w:hAnsi="Times New Roman" w:cs="Times New Roman"/>
          <w:sz w:val="24"/>
          <w:szCs w:val="24"/>
        </w:rPr>
        <w:t xml:space="preserve"> by transactivating the EGFR/PI3K/AKT cascade.</w:t>
      </w:r>
      <w:bookmarkEnd w:id="21"/>
      <w:r w:rsidRPr="006F2325">
        <w:rPr>
          <w:rFonts w:ascii="Times New Roman" w:eastAsia="等线" w:hAnsi="Times New Roman" w:cs="Times New Roman"/>
          <w:sz w:val="24"/>
          <w:szCs w:val="24"/>
        </w:rPr>
        <w:t xml:space="preserve"> </w:t>
      </w:r>
      <w:bookmarkEnd w:id="22"/>
      <w:r w:rsidRPr="006F2325">
        <w:rPr>
          <w:rFonts w:ascii="Times New Roman" w:eastAsia="等线" w:hAnsi="Times New Roman" w:cs="Times New Roman"/>
          <w:sz w:val="24"/>
          <w:szCs w:val="24"/>
        </w:rPr>
        <w:t>MMP-9 mediates the ectodomain shedding of EGF and/or HB-EGF, further activating EGFR/Src/PI3K/AKT signalling by increasing local proteolysis.</w:t>
      </w:r>
      <w:r w:rsidRPr="006F2325">
        <w:rPr>
          <w:rFonts w:ascii="Times New Roman" w:eastAsia="等线" w:hAnsi="Times New Roman" w:cs="Times New Roman"/>
          <w:color w:val="000000" w:themeColor="text1"/>
          <w:sz w:val="24"/>
          <w:szCs w:val="24"/>
        </w:rPr>
        <w:t xml:space="preserve"> </w:t>
      </w:r>
      <w:r w:rsidRPr="006F2325">
        <w:rPr>
          <w:rFonts w:ascii="Times New Roman" w:eastAsia="等线" w:hAnsi="Times New Roman" w:cs="Times New Roman"/>
          <w:sz w:val="24"/>
          <w:szCs w:val="24"/>
        </w:rPr>
        <w:t>Proliferating cell nuclear antigen</w:t>
      </w:r>
      <w:r w:rsidRPr="006F2325">
        <w:rPr>
          <w:rFonts w:ascii="Times New Roman" w:eastAsia="等线" w:hAnsi="Times New Roman" w:cs="Times New Roman"/>
          <w:color w:val="000000" w:themeColor="text1"/>
          <w:sz w:val="24"/>
          <w:szCs w:val="24"/>
        </w:rPr>
        <w:t xml:space="preserve"> facilitates </w:t>
      </w:r>
      <w:r w:rsidRPr="006F2325">
        <w:rPr>
          <w:rFonts w:ascii="Times New Roman" w:eastAsia="等线" w:hAnsi="Times New Roman" w:cs="Times New Roman"/>
          <w:color w:val="000000" w:themeColor="text1"/>
          <w:sz w:val="24"/>
          <w:szCs w:val="24"/>
        </w:rPr>
        <w:lastRenderedPageBreak/>
        <w:t xml:space="preserve">proliferation by inducing DNA duplication through an increase the activity of DNA polymerase and eIF5A </w:t>
      </w:r>
      <w:r w:rsidRPr="006F2325">
        <w:rPr>
          <w:rFonts w:ascii="Times New Roman" w:eastAsia="等线" w:hAnsi="Times New Roman" w:cs="Times New Roman"/>
          <w:noProof/>
          <w:color w:val="000000" w:themeColor="text1"/>
          <w:sz w:val="24"/>
          <w:szCs w:val="24"/>
        </w:rPr>
        <w:t>[25, 26]</w:t>
      </w:r>
      <w:r w:rsidRPr="006F2325">
        <w:rPr>
          <w:rFonts w:ascii="Times New Roman" w:eastAsia="等线" w:hAnsi="Times New Roman" w:cs="Times New Roman"/>
          <w:color w:val="000000" w:themeColor="text1"/>
          <w:sz w:val="24"/>
          <w:szCs w:val="24"/>
        </w:rPr>
        <w:t>.</w:t>
      </w:r>
    </w:p>
    <w:bookmarkEnd w:id="23"/>
    <w:p w14:paraId="4AEE938E"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The HB-EGF/EGFR/Src cascade is a target of various endogenous and exogenous molecules. </w:t>
      </w:r>
      <w:r w:rsidRPr="006F2325">
        <w:rPr>
          <w:rFonts w:ascii="Times New Roman" w:eastAsia="等线" w:hAnsi="Times New Roman" w:cs="Times New Roman"/>
          <w:color w:val="000000"/>
          <w:sz w:val="24"/>
          <w:szCs w:val="24"/>
        </w:rPr>
        <w:t>Furthermore, the influx of extracellular Ca</w:t>
      </w:r>
      <w:r w:rsidRPr="006F2325">
        <w:rPr>
          <w:rFonts w:ascii="Times New Roman" w:eastAsia="等线" w:hAnsi="Times New Roman" w:cs="Times New Roman"/>
          <w:color w:val="000000"/>
          <w:sz w:val="24"/>
          <w:szCs w:val="16"/>
          <w:vertAlign w:val="superscript"/>
        </w:rPr>
        <w:t>2+</w:t>
      </w:r>
      <w:r w:rsidRPr="006F2325">
        <w:rPr>
          <w:rFonts w:ascii="Times New Roman" w:eastAsia="等线" w:hAnsi="Times New Roman" w:cs="Times New Roman"/>
          <w:color w:val="000000"/>
          <w:sz w:val="24"/>
          <w:szCs w:val="24"/>
        </w:rPr>
        <w:t xml:space="preserve"> increases the activity of Src, and a disintegrin and metalloproteinase and transactivating the HB-EGF/EGFR/Src/PI3K/AKT cascade </w:t>
      </w:r>
      <w:r w:rsidRPr="006F2325">
        <w:rPr>
          <w:rFonts w:ascii="Times New Roman" w:eastAsia="等线" w:hAnsi="Times New Roman" w:cs="Times New Roman"/>
          <w:noProof/>
          <w:color w:val="000000"/>
          <w:sz w:val="24"/>
          <w:szCs w:val="24"/>
        </w:rPr>
        <w:t>[27, 28]</w:t>
      </w:r>
      <w:r w:rsidRPr="006F2325">
        <w:rPr>
          <w:rFonts w:ascii="Times New Roman" w:eastAsia="等线" w:hAnsi="Times New Roman" w:cs="Times New Roman"/>
          <w:color w:val="000000"/>
          <w:sz w:val="24"/>
          <w:szCs w:val="24"/>
        </w:rPr>
        <w:t>.</w:t>
      </w:r>
      <w:r w:rsidRPr="006F2325">
        <w:rPr>
          <w:rFonts w:ascii="Times New Roman" w:eastAsia="等线" w:hAnsi="Times New Roman" w:cs="Times New Roman"/>
          <w:sz w:val="24"/>
          <w:szCs w:val="24"/>
        </w:rPr>
        <w:t xml:space="preserve"> </w:t>
      </w:r>
      <w:bookmarkStart w:id="24" w:name="_Hlk99988459"/>
      <w:r w:rsidRPr="006F2325">
        <w:rPr>
          <w:rFonts w:ascii="Times New Roman" w:eastAsia="等线" w:hAnsi="Times New Roman" w:cs="Times New Roman"/>
          <w:sz w:val="24"/>
          <w:szCs w:val="24"/>
        </w:rPr>
        <w:t>In addition, endogenous anti-inflammatory mediators, resolvins, induce MMP-mediated activation of the HB-EGF/EGFR/PI3K/AKT/GSK3β cascade,</w:t>
      </w:r>
      <w:r w:rsidRPr="006F2325">
        <w:t xml:space="preserve"> </w:t>
      </w:r>
      <w:r w:rsidRPr="006F2325">
        <w:rPr>
          <w:rFonts w:ascii="Times New Roman" w:eastAsia="等线" w:hAnsi="Times New Roman" w:cs="Times New Roman"/>
          <w:sz w:val="24"/>
          <w:szCs w:val="24"/>
        </w:rPr>
        <w:t xml:space="preserve">which inactivates paxillin to inhibit the activation of its substrate focal adhesion kinase and induce the formation of the </w:t>
      </w:r>
      <w:r w:rsidRPr="006F2325">
        <w:rPr>
          <w:rFonts w:ascii="Times New Roman" w:eastAsia="等线" w:hAnsi="Times New Roman" w:cs="Times New Roman" w:hint="eastAsia"/>
          <w:sz w:val="24"/>
          <w:szCs w:val="24"/>
        </w:rPr>
        <w:t>m</w:t>
      </w:r>
      <w:r w:rsidRPr="006F2325">
        <w:rPr>
          <w:rFonts w:ascii="Times New Roman" w:eastAsia="等线" w:hAnsi="Times New Roman" w:cs="Times New Roman"/>
          <w:sz w:val="24"/>
          <w:szCs w:val="24"/>
        </w:rPr>
        <w:t xml:space="preserve">itogen-activated protein kinase 3/1-focal adhesion kinase-paxillin complex </w:t>
      </w:r>
      <w:r w:rsidRPr="006F2325">
        <w:rPr>
          <w:rFonts w:ascii="Times New Roman" w:eastAsia="等线" w:hAnsi="Times New Roman" w:cs="Times New Roman"/>
          <w:noProof/>
          <w:sz w:val="24"/>
          <w:szCs w:val="24"/>
        </w:rPr>
        <w:t>[29, 30]</w:t>
      </w:r>
      <w:r w:rsidRPr="006F2325">
        <w:rPr>
          <w:rFonts w:ascii="Times New Roman" w:eastAsia="等线" w:hAnsi="Times New Roman" w:cs="Times New Roman"/>
          <w:sz w:val="24"/>
          <w:szCs w:val="24"/>
        </w:rPr>
        <w:t xml:space="preserve">. These effects increase the migration of human CECs (hCECs) and healing of the CE </w:t>
      </w:r>
      <w:r w:rsidRPr="006F2325">
        <w:rPr>
          <w:rFonts w:ascii="Times New Roman" w:eastAsia="等线" w:hAnsi="Times New Roman" w:cs="Times New Roman"/>
          <w:i/>
          <w:iCs/>
          <w:sz w:val="24"/>
          <w:szCs w:val="24"/>
        </w:rPr>
        <w:t xml:space="preserve">in vitro </w:t>
      </w:r>
      <w:r w:rsidRPr="006F2325">
        <w:rPr>
          <w:rFonts w:ascii="Times New Roman" w:eastAsia="等线" w:hAnsi="Times New Roman" w:cs="Times New Roman"/>
          <w:noProof/>
          <w:sz w:val="24"/>
          <w:szCs w:val="24"/>
        </w:rPr>
        <w:t>[29, 30]</w:t>
      </w:r>
      <w:r w:rsidRPr="006F2325">
        <w:rPr>
          <w:rFonts w:ascii="Times New Roman" w:eastAsia="等线" w:hAnsi="Times New Roman" w:cs="Times New Roman"/>
          <w:sz w:val="24"/>
          <w:szCs w:val="24"/>
        </w:rPr>
        <w:t>.</w:t>
      </w:r>
    </w:p>
    <w:p w14:paraId="3D9F78B1" w14:textId="77777777" w:rsidR="002C20A4" w:rsidRPr="006F2325" w:rsidRDefault="002C20A4" w:rsidP="006F2325">
      <w:pPr>
        <w:spacing w:line="480" w:lineRule="auto"/>
        <w:ind w:firstLineChars="100" w:firstLine="240"/>
        <w:rPr>
          <w:rFonts w:ascii="Times New Roman" w:eastAsia="等线" w:hAnsi="Times New Roman" w:cs="Times New Roman"/>
          <w:b/>
          <w:sz w:val="24"/>
          <w:szCs w:val="24"/>
          <w:u w:val="single"/>
        </w:rPr>
      </w:pPr>
      <w:bookmarkStart w:id="25" w:name="_Hlk99135875"/>
      <w:bookmarkStart w:id="26" w:name="_Hlk98870460"/>
      <w:bookmarkStart w:id="27" w:name="_Hlk99996032"/>
      <w:bookmarkEnd w:id="24"/>
      <w:r w:rsidRPr="006F2325">
        <w:rPr>
          <w:rFonts w:ascii="Times New Roman" w:eastAsia="等线" w:hAnsi="Times New Roman" w:cs="Times New Roman"/>
          <w:sz w:val="24"/>
          <w:szCs w:val="24"/>
        </w:rPr>
        <w:t xml:space="preserve">The endocannabinoid system </w:t>
      </w:r>
      <w:r w:rsidRPr="0033469E">
        <w:rPr>
          <w:rFonts w:ascii="Times New Roman" w:eastAsia="等线" w:hAnsi="Times New Roman" w:cs="Times New Roman"/>
          <w:sz w:val="24"/>
          <w:szCs w:val="24"/>
          <w:highlight w:val="yellow"/>
        </w:rPr>
        <w:t>regulates</w:t>
      </w:r>
      <w:r w:rsidRPr="006F2325">
        <w:rPr>
          <w:rFonts w:ascii="Times New Roman" w:eastAsia="等线" w:hAnsi="Times New Roman" w:cs="Times New Roman"/>
          <w:sz w:val="24"/>
          <w:szCs w:val="24"/>
        </w:rPr>
        <w:t xml:space="preserve"> the proliferation and migration of CECs partially by transactivating or inhibiting the EGFR/PI3K/AKT signalling pathway </w:t>
      </w:r>
      <w:r w:rsidRPr="006F2325">
        <w:rPr>
          <w:rFonts w:ascii="Times New Roman" w:eastAsia="等线" w:hAnsi="Times New Roman" w:cs="Times New Roman"/>
          <w:noProof/>
          <w:sz w:val="24"/>
          <w:szCs w:val="24"/>
        </w:rPr>
        <w:t>[31, 32]</w:t>
      </w:r>
      <w:r w:rsidRPr="006F2325">
        <w:rPr>
          <w:rFonts w:ascii="Times New Roman" w:eastAsia="等线" w:hAnsi="Times New Roman" w:cs="Times New Roman"/>
          <w:sz w:val="24"/>
          <w:szCs w:val="24"/>
        </w:rPr>
        <w:t>. Two endogenous metabolites, capsaicin and MAP kinase kinase kinase win, and their receptors, cannabinoid receptor 1 and transient receptor potential vanilloid 1, respectively, were identified in previous studies. Activated cannabinoid receptor 1 and transient receptor potential vanilloid 1 increase the migration and proliferation partially through Ca</w:t>
      </w:r>
      <w:r w:rsidRPr="006F2325">
        <w:rPr>
          <w:rFonts w:ascii="Times New Roman" w:eastAsia="等线" w:hAnsi="Times New Roman" w:cs="Times New Roman"/>
          <w:sz w:val="24"/>
          <w:szCs w:val="24"/>
          <w:vertAlign w:val="superscript"/>
        </w:rPr>
        <w:t>2+</w:t>
      </w:r>
      <w:r w:rsidRPr="006F2325">
        <w:rPr>
          <w:rFonts w:ascii="Times New Roman" w:eastAsia="等线" w:hAnsi="Times New Roman" w:cs="Times New Roman"/>
          <w:sz w:val="24"/>
          <w:szCs w:val="24"/>
        </w:rPr>
        <w:t xml:space="preserve"> influx-induced transactivation of EGFR/Src/PI3K/AKT signalling in hCECs and mouse CECs </w:t>
      </w:r>
      <w:r w:rsidRPr="006F2325">
        <w:rPr>
          <w:rFonts w:ascii="Times New Roman" w:eastAsia="等线" w:hAnsi="Times New Roman" w:cs="Times New Roman"/>
          <w:i/>
          <w:sz w:val="24"/>
          <w:szCs w:val="24"/>
        </w:rPr>
        <w:t xml:space="preserve">in vitro </w:t>
      </w:r>
      <w:r w:rsidRPr="006F2325">
        <w:rPr>
          <w:rFonts w:ascii="Times New Roman" w:eastAsia="等线" w:hAnsi="Times New Roman" w:cs="Times New Roman"/>
          <w:noProof/>
          <w:sz w:val="24"/>
          <w:szCs w:val="24"/>
        </w:rPr>
        <w:t>[32, 33]</w:t>
      </w:r>
      <w:r w:rsidRPr="006F2325">
        <w:rPr>
          <w:rFonts w:ascii="Times New Roman" w:eastAsia="等线" w:hAnsi="Times New Roman" w:cs="Times New Roman"/>
          <w:sz w:val="24"/>
          <w:szCs w:val="24"/>
        </w:rPr>
        <w:t xml:space="preserve">. However, in bovine CECs </w:t>
      </w:r>
      <w:r w:rsidRPr="006F2325">
        <w:rPr>
          <w:rFonts w:ascii="Times New Roman" w:eastAsia="等线" w:hAnsi="Times New Roman" w:cs="Times New Roman"/>
          <w:i/>
          <w:sz w:val="24"/>
          <w:szCs w:val="24"/>
        </w:rPr>
        <w:t>in vitro</w:t>
      </w:r>
      <w:r w:rsidRPr="006F2325">
        <w:rPr>
          <w:rFonts w:ascii="Times New Roman" w:eastAsia="等线" w:hAnsi="Times New Roman" w:cs="Times New Roman"/>
          <w:sz w:val="24"/>
          <w:szCs w:val="24"/>
        </w:rPr>
        <w:t xml:space="preserve">, endogenous activation of cannabinoid receptor 1 antagonizes the transactivation of the EGFR/PI3K/AKT signalling pathway and promotes migration by inducing chemotaxis </w:t>
      </w:r>
      <w:r w:rsidRPr="006F2325">
        <w:rPr>
          <w:rFonts w:ascii="Times New Roman" w:eastAsia="等线" w:hAnsi="Times New Roman" w:cs="Times New Roman"/>
          <w:sz w:val="24"/>
          <w:szCs w:val="24"/>
        </w:rPr>
        <w:lastRenderedPageBreak/>
        <w:t xml:space="preserve">rather than inducing proliferation </w:t>
      </w:r>
      <w:r w:rsidRPr="006F2325">
        <w:rPr>
          <w:rFonts w:ascii="Times New Roman" w:eastAsia="等线" w:hAnsi="Times New Roman" w:cs="Times New Roman"/>
          <w:noProof/>
          <w:sz w:val="24"/>
          <w:szCs w:val="24"/>
        </w:rPr>
        <w:t>[34]</w:t>
      </w:r>
      <w:r w:rsidRPr="006F2325">
        <w:rPr>
          <w:rFonts w:ascii="Times New Roman" w:eastAsia="等线" w:hAnsi="Times New Roman" w:cs="Times New Roman"/>
          <w:sz w:val="24"/>
          <w:szCs w:val="24"/>
        </w:rPr>
        <w:t>.</w:t>
      </w:r>
      <w:bookmarkEnd w:id="25"/>
      <w:r w:rsidRPr="006F2325">
        <w:rPr>
          <w:rFonts w:ascii="Times New Roman" w:eastAsia="等线" w:hAnsi="Times New Roman" w:cs="Times New Roman"/>
          <w:sz w:val="24"/>
          <w:szCs w:val="24"/>
        </w:rPr>
        <w:t xml:space="preserve"> This opposite outcome may be attributed to the differences </w:t>
      </w:r>
      <w:r w:rsidRPr="0033469E">
        <w:rPr>
          <w:rFonts w:ascii="Times New Roman" w:eastAsia="等线" w:hAnsi="Times New Roman" w:cs="Times New Roman"/>
          <w:sz w:val="24"/>
          <w:szCs w:val="24"/>
          <w:highlight w:val="yellow"/>
        </w:rPr>
        <w:t>among</w:t>
      </w:r>
      <w:r w:rsidRPr="006F2325">
        <w:rPr>
          <w:rFonts w:ascii="Times New Roman" w:eastAsia="等线" w:hAnsi="Times New Roman" w:cs="Times New Roman"/>
          <w:sz w:val="24"/>
          <w:szCs w:val="24"/>
        </w:rPr>
        <w:t xml:space="preserve"> humans, mice</w:t>
      </w:r>
      <w:r>
        <w:rPr>
          <w:rFonts w:ascii="Times New Roman" w:eastAsia="等线" w:hAnsi="Times New Roman" w:cs="Times New Roman"/>
          <w:sz w:val="24"/>
          <w:szCs w:val="24"/>
        </w:rPr>
        <w:t>,</w:t>
      </w:r>
      <w:r w:rsidRPr="006F2325">
        <w:rPr>
          <w:rFonts w:ascii="Times New Roman" w:eastAsia="等线" w:hAnsi="Times New Roman" w:cs="Times New Roman"/>
          <w:sz w:val="24"/>
          <w:szCs w:val="24"/>
        </w:rPr>
        <w:t xml:space="preserve"> and bovines, and we propose that related experiments on the corneas of other species are needed to further explore the effect of the cannabinoid system on the EGFR/PI3K/AKT cascade in CECs. More importantly, further </w:t>
      </w:r>
      <w:r w:rsidRPr="006F2325">
        <w:rPr>
          <w:rFonts w:ascii="Times New Roman" w:eastAsia="等线" w:hAnsi="Times New Roman" w:cs="Times New Roman"/>
          <w:i/>
          <w:iCs/>
          <w:sz w:val="24"/>
          <w:szCs w:val="24"/>
        </w:rPr>
        <w:t>in vivo</w:t>
      </w:r>
      <w:r w:rsidRPr="006F2325">
        <w:rPr>
          <w:rFonts w:ascii="Times New Roman" w:eastAsia="等线" w:hAnsi="Times New Roman" w:cs="Times New Roman"/>
          <w:sz w:val="24"/>
          <w:szCs w:val="24"/>
        </w:rPr>
        <w:t xml:space="preserve"> experiments on the endocannabinoid system-EGFR/PI3K/AKT cascade are also necessary.</w:t>
      </w:r>
      <w:bookmarkEnd w:id="26"/>
      <w:r w:rsidRPr="006F2325">
        <w:rPr>
          <w:rFonts w:ascii="Times New Roman" w:eastAsia="等线" w:hAnsi="Times New Roman" w:cs="Times New Roman"/>
          <w:sz w:val="24"/>
          <w:szCs w:val="24"/>
        </w:rPr>
        <w:t xml:space="preserve"> </w:t>
      </w:r>
      <w:bookmarkEnd w:id="27"/>
    </w:p>
    <w:p w14:paraId="29E5EA6E" w14:textId="77777777" w:rsidR="002C20A4" w:rsidRPr="006F2325" w:rsidRDefault="002C20A4" w:rsidP="006F2325">
      <w:pPr>
        <w:spacing w:line="480" w:lineRule="auto"/>
        <w:rPr>
          <w:rFonts w:ascii="Times New Roman" w:eastAsia="等线" w:hAnsi="Times New Roman" w:cs="Times New Roman"/>
          <w:b/>
          <w:sz w:val="28"/>
          <w:szCs w:val="24"/>
        </w:rPr>
      </w:pPr>
      <w:r w:rsidRPr="006F2325">
        <w:rPr>
          <w:rFonts w:ascii="Times New Roman" w:eastAsia="等线" w:hAnsi="Times New Roman" w:cs="Times New Roman"/>
          <w:b/>
          <w:sz w:val="28"/>
          <w:szCs w:val="24"/>
        </w:rPr>
        <w:t xml:space="preserve">3.2 Insulin-like growth factor 1 (IGF1) and insulin </w:t>
      </w:r>
    </w:p>
    <w:p w14:paraId="745F466A"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bookmarkStart w:id="28" w:name="_Hlk99054391"/>
      <w:r w:rsidRPr="006F2325">
        <w:rPr>
          <w:rFonts w:ascii="Times New Roman" w:eastAsia="等线" w:hAnsi="Times New Roman" w:cs="Times New Roman"/>
          <w:sz w:val="24"/>
          <w:szCs w:val="24"/>
        </w:rPr>
        <w:t>In hCECs, IGF1 binds to the IGF1 receptor</w:t>
      </w:r>
      <w:r w:rsidRPr="006F2325">
        <w:rPr>
          <w:rFonts w:ascii="Times New Roman" w:eastAsia="等线" w:hAnsi="Times New Roman" w:cs="Times New Roman"/>
        </w:rPr>
        <w:t xml:space="preserve"> </w:t>
      </w:r>
      <w:r w:rsidRPr="006F2325">
        <w:rPr>
          <w:rFonts w:ascii="Times New Roman" w:eastAsia="等线" w:hAnsi="Times New Roman" w:cs="Times New Roman"/>
          <w:sz w:val="24"/>
          <w:szCs w:val="24"/>
        </w:rPr>
        <w:t xml:space="preserve">to activate the insulin receptor substrate 2/PI3K/AKT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and activate proliferation, but these effects are inhibited by </w:t>
      </w:r>
      <w:r w:rsidRPr="006F2325">
        <w:rPr>
          <w:rFonts w:ascii="Times New Roman" w:eastAsia="等线" w:hAnsi="Times New Roman" w:cs="Times New Roman" w:hint="eastAsia"/>
          <w:sz w:val="24"/>
          <w:szCs w:val="24"/>
        </w:rPr>
        <w:t>IGF</w:t>
      </w:r>
      <w:r w:rsidRPr="006F2325">
        <w:rPr>
          <w:rFonts w:ascii="Times New Roman" w:eastAsia="等线" w:hAnsi="Times New Roman" w:cs="Times New Roman"/>
          <w:sz w:val="24"/>
          <w:szCs w:val="24"/>
        </w:rPr>
        <w:t>-binding protein</w:t>
      </w:r>
      <w:r w:rsidRPr="006F2325" w:rsidDel="00CF3FC2">
        <w:rPr>
          <w:rFonts w:ascii="Times New Roman" w:eastAsia="等线" w:hAnsi="Times New Roman" w:cs="Times New Roman"/>
          <w:sz w:val="24"/>
          <w:szCs w:val="24"/>
        </w:rPr>
        <w:t xml:space="preserve"> </w:t>
      </w:r>
      <w:r w:rsidRPr="006F2325">
        <w:rPr>
          <w:rFonts w:ascii="Times New Roman" w:eastAsia="等线" w:hAnsi="Times New Roman" w:cs="Times New Roman"/>
          <w:sz w:val="24"/>
          <w:szCs w:val="24"/>
        </w:rPr>
        <w:t xml:space="preserve">3 in CECs </w:t>
      </w:r>
      <w:r w:rsidRPr="006F2325">
        <w:rPr>
          <w:rFonts w:ascii="Times New Roman" w:eastAsia="等线" w:hAnsi="Times New Roman" w:cs="Times New Roman"/>
          <w:noProof/>
          <w:sz w:val="24"/>
          <w:szCs w:val="24"/>
        </w:rPr>
        <w:t>[35-38]</w:t>
      </w:r>
      <w:r w:rsidRPr="006F2325">
        <w:rPr>
          <w:rFonts w:ascii="Times New Roman" w:eastAsia="等线" w:hAnsi="Times New Roman" w:cs="Times New Roman"/>
          <w:sz w:val="24"/>
          <w:szCs w:val="24"/>
        </w:rPr>
        <w:t>.</w:t>
      </w:r>
      <w:bookmarkEnd w:id="28"/>
      <w:r w:rsidRPr="006F2325">
        <w:rPr>
          <w:rFonts w:ascii="Times New Roman" w:eastAsia="等线" w:hAnsi="Times New Roman" w:cs="Times New Roman"/>
          <w:sz w:val="24"/>
          <w:szCs w:val="24"/>
        </w:rPr>
        <w:t xml:space="preserve"> Furthermore, GSK3β may be phosphorylated by the insulin/insulin receptor /insulin receptor substrate 2/PI3K/AKT </w:t>
      </w:r>
      <w:r w:rsidRPr="006F2325">
        <w:rPr>
          <w:rFonts w:ascii="Times New Roman" w:eastAsia="等线" w:hAnsi="Times New Roman" w:cs="Times New Roman"/>
          <w:sz w:val="24"/>
          <w:szCs w:val="24"/>
          <w:u w:color="FFFFFF" w:themeColor="background1"/>
        </w:rPr>
        <w:t>signalling</w:t>
      </w:r>
      <w:r w:rsidRPr="006F2325">
        <w:rPr>
          <w:rFonts w:ascii="Times New Roman" w:eastAsia="等线" w:hAnsi="Times New Roman" w:cs="Times New Roman"/>
          <w:sz w:val="24"/>
          <w:szCs w:val="24"/>
        </w:rPr>
        <w:t xml:space="preserve"> cascade to induce degradation of the insulin receptor voltage-dependent anion channel-1 complex at the mitochondrial membrane, leading to senescence, mitophagy</w:t>
      </w:r>
      <w:r>
        <w:rPr>
          <w:rFonts w:ascii="Times New Roman" w:eastAsia="等线" w:hAnsi="Times New Roman" w:cs="Times New Roman"/>
          <w:sz w:val="24"/>
          <w:szCs w:val="24"/>
        </w:rPr>
        <w:t>,</w:t>
      </w:r>
      <w:r w:rsidRPr="006F2325">
        <w:rPr>
          <w:rFonts w:ascii="Times New Roman" w:eastAsia="等线" w:hAnsi="Times New Roman" w:cs="Times New Roman"/>
          <w:sz w:val="24"/>
          <w:szCs w:val="24"/>
        </w:rPr>
        <w:t xml:space="preserve"> and CEC survival </w:t>
      </w:r>
      <w:r w:rsidRPr="006F2325">
        <w:rPr>
          <w:rFonts w:ascii="Times New Roman" w:eastAsia="等线" w:hAnsi="Times New Roman" w:cs="Times New Roman"/>
          <w:i/>
          <w:sz w:val="24"/>
          <w:szCs w:val="24"/>
        </w:rPr>
        <w:t>in vitro</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noProof/>
          <w:sz w:val="24"/>
          <w:szCs w:val="24"/>
        </w:rPr>
        <w:t>[39]</w:t>
      </w:r>
      <w:r w:rsidRPr="006F2325">
        <w:rPr>
          <w:rFonts w:ascii="Times New Roman" w:eastAsia="等线" w:hAnsi="Times New Roman" w:cs="Times New Roman"/>
          <w:sz w:val="24"/>
          <w:szCs w:val="24"/>
        </w:rPr>
        <w:t>.</w:t>
      </w:r>
    </w:p>
    <w:p w14:paraId="061D4327"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u w:val="single"/>
        </w:rPr>
      </w:pPr>
      <w:bookmarkStart w:id="29" w:name="_Hlk102737546"/>
      <w:r w:rsidRPr="006F2325">
        <w:rPr>
          <w:rFonts w:ascii="Times New Roman" w:eastAsia="等线" w:hAnsi="Times New Roman" w:cs="Times New Roman"/>
          <w:sz w:val="24"/>
          <w:szCs w:val="24"/>
        </w:rPr>
        <w:t xml:space="preserve">Other growth factors, including transforming growth factor-β (TGF-β), hepatocyte growth factor (HGF), keratinocyte growth factor, nerve growth factor, vascular endothelial growth factor B, and pigment epithelium-derived factor, also activate 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which promotes the proliferation, migration of CECs, inhibits CEC apoptosis and promotes healing of the CE </w:t>
      </w:r>
      <w:r w:rsidRPr="006F2325">
        <w:rPr>
          <w:rFonts w:ascii="Times New Roman" w:eastAsia="等线" w:hAnsi="Times New Roman" w:cs="Times New Roman"/>
          <w:noProof/>
          <w:sz w:val="24"/>
          <w:szCs w:val="24"/>
        </w:rPr>
        <w:t>[40-44]</w:t>
      </w:r>
      <w:r w:rsidRPr="006F2325">
        <w:rPr>
          <w:rFonts w:ascii="Times New Roman" w:eastAsia="等线" w:hAnsi="Times New Roman" w:cs="Times New Roman"/>
          <w:sz w:val="24"/>
          <w:szCs w:val="24"/>
        </w:rPr>
        <w:t>.</w:t>
      </w:r>
    </w:p>
    <w:bookmarkEnd w:id="29"/>
    <w:p w14:paraId="2BA5DF59" w14:textId="77777777" w:rsidR="002C20A4" w:rsidRPr="006F2325" w:rsidRDefault="002C20A4" w:rsidP="006F2325">
      <w:pPr>
        <w:spacing w:line="480" w:lineRule="auto"/>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  The relationship between growth factors and DK is discussed in section 5.2.</w:t>
      </w:r>
    </w:p>
    <w:p w14:paraId="15762B4E" w14:textId="77777777" w:rsidR="002C20A4" w:rsidRPr="006F2325" w:rsidRDefault="002C20A4" w:rsidP="006F2325">
      <w:pPr>
        <w:spacing w:line="480" w:lineRule="auto"/>
        <w:rPr>
          <w:rFonts w:ascii="Times New Roman" w:eastAsia="等线" w:hAnsi="Times New Roman" w:cs="Times New Roman"/>
          <w:b/>
          <w:sz w:val="28"/>
          <w:szCs w:val="24"/>
        </w:rPr>
      </w:pPr>
      <w:r w:rsidRPr="006F2325">
        <w:rPr>
          <w:rFonts w:ascii="Times New Roman" w:eastAsia="等线" w:hAnsi="Times New Roman" w:cs="Times New Roman"/>
          <w:b/>
          <w:sz w:val="28"/>
          <w:szCs w:val="24"/>
        </w:rPr>
        <w:t xml:space="preserve">3.3 Neurokinin 1 (NK-1) </w:t>
      </w:r>
    </w:p>
    <w:p w14:paraId="71681E3C" w14:textId="77777777" w:rsidR="002C20A4" w:rsidRPr="006F2325" w:rsidRDefault="002C20A4" w:rsidP="006F2325">
      <w:pPr>
        <w:spacing w:line="480" w:lineRule="auto"/>
        <w:ind w:firstLineChars="100" w:firstLine="240"/>
        <w:rPr>
          <w:rFonts w:ascii="Times New Roman" w:eastAsia="等线" w:hAnsi="Times New Roman" w:cs="Times New Roman"/>
          <w:b/>
          <w:sz w:val="30"/>
          <w:szCs w:val="30"/>
        </w:rPr>
      </w:pPr>
      <w:r w:rsidRPr="006F2325">
        <w:rPr>
          <w:rFonts w:ascii="Times New Roman" w:eastAsia="等线" w:hAnsi="Times New Roman" w:cs="Times New Roman"/>
          <w:sz w:val="24"/>
          <w:szCs w:val="24"/>
        </w:rPr>
        <w:t>As a neuropeptide</w:t>
      </w:r>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that is widely distributed in nerve fibres, NK-1 (also called </w:t>
      </w:r>
      <w:r w:rsidRPr="006F2325">
        <w:rPr>
          <w:rFonts w:ascii="Times New Roman" w:eastAsia="等线" w:hAnsi="Times New Roman" w:cs="Times New Roman"/>
          <w:sz w:val="24"/>
          <w:szCs w:val="24"/>
        </w:rPr>
        <w:lastRenderedPageBreak/>
        <w:t xml:space="preserve">substance P) facilitate healing in the CE and the recovery of mitochondrial function in CECs </w:t>
      </w:r>
      <w:r w:rsidRPr="006F2325">
        <w:rPr>
          <w:rFonts w:ascii="Times New Roman" w:eastAsia="等线" w:hAnsi="Times New Roman" w:cs="Times New Roman"/>
          <w:noProof/>
          <w:sz w:val="24"/>
          <w:szCs w:val="24"/>
        </w:rPr>
        <w:t>[45, 46]</w:t>
      </w:r>
      <w:r w:rsidRPr="006F2325">
        <w:rPr>
          <w:rFonts w:ascii="Times New Roman" w:eastAsia="等线" w:hAnsi="Times New Roman" w:cs="Times New Roman"/>
          <w:sz w:val="24"/>
          <w:szCs w:val="24"/>
        </w:rPr>
        <w:t xml:space="preserve">. By binding to the NK-1 receptor, NK-1 restores EGFR/AKT/GSK3β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which eliminates Cas</w:t>
      </w:r>
      <w:r w:rsidRPr="006F2325">
        <w:rPr>
          <w:rFonts w:ascii="Times New Roman" w:eastAsia="等线" w:hAnsi="Times New Roman" w:cs="Times New Roman" w:hint="eastAsia"/>
          <w:sz w:val="24"/>
          <w:szCs w:val="24"/>
        </w:rPr>
        <w:t>pase</w:t>
      </w:r>
      <w:r w:rsidRPr="006F2325">
        <w:rPr>
          <w:rFonts w:ascii="Times New Roman" w:eastAsia="等线" w:hAnsi="Times New Roman" w:cs="Times New Roman"/>
          <w:sz w:val="24"/>
          <w:szCs w:val="24"/>
        </w:rPr>
        <w:t xml:space="preserve">-3 (Cas-3) and reactive oxygen species (ROS) to inhibit CEC apoptosis under hyperglycaemic and hyperosmolar conditions </w:t>
      </w:r>
      <w:r w:rsidRPr="006F2325">
        <w:rPr>
          <w:rFonts w:ascii="Times New Roman" w:eastAsia="等线" w:hAnsi="Times New Roman" w:cs="Times New Roman"/>
          <w:noProof/>
          <w:sz w:val="24"/>
          <w:szCs w:val="24"/>
        </w:rPr>
        <w:t>[45, 47-50]</w:t>
      </w:r>
      <w:r w:rsidRPr="006F2325">
        <w:rPr>
          <w:rFonts w:ascii="Times New Roman" w:eastAsia="等线" w:hAnsi="Times New Roman" w:cs="Times New Roman"/>
          <w:sz w:val="24"/>
          <w:szCs w:val="24"/>
        </w:rPr>
        <w:t>.</w:t>
      </w:r>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Cas-3 with reduced expression and activity cannot execute apoptosis in cytosol </w:t>
      </w:r>
      <w:r w:rsidRPr="006F2325">
        <w:rPr>
          <w:rFonts w:ascii="Times New Roman" w:eastAsia="等线" w:hAnsi="Times New Roman" w:cs="Times New Roman"/>
          <w:noProof/>
          <w:sz w:val="24"/>
          <w:szCs w:val="24"/>
        </w:rPr>
        <w:t>[50]</w:t>
      </w:r>
      <w:r w:rsidRPr="006F2325">
        <w:rPr>
          <w:rFonts w:ascii="Times New Roman" w:eastAsia="等线" w:hAnsi="Times New Roman" w:cs="Times New Roman"/>
          <w:sz w:val="24"/>
          <w:szCs w:val="24"/>
        </w:rPr>
        <w:t xml:space="preserve">. In addition, activation of 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partially inhibits the production of interleukin (IL)-1α, macrophage inflammatory protein 1α, and macrophage inflammatory protein 1β, all of which are associated with local inflammation and delayed healing of the CE </w:t>
      </w:r>
      <w:r w:rsidRPr="006F2325">
        <w:rPr>
          <w:rFonts w:ascii="Times New Roman" w:eastAsia="等线" w:hAnsi="Times New Roman" w:cs="Times New Roman"/>
          <w:noProof/>
          <w:sz w:val="24"/>
          <w:szCs w:val="24"/>
        </w:rPr>
        <w:t>[48]</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color w:val="000000"/>
          <w:sz w:val="24"/>
          <w:szCs w:val="24"/>
        </w:rPr>
        <w:t xml:space="preserve">Moreover, the NK-1 and C domains of IGFs synergistically activate the PI3K/AKT/GSK3β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color w:val="000000"/>
          <w:sz w:val="24"/>
          <w:szCs w:val="24"/>
        </w:rPr>
        <w:t xml:space="preserve"> pathway to promote cell migration</w:t>
      </w:r>
      <w:r w:rsidRPr="006F2325" w:rsidDel="007E5C77">
        <w:rPr>
          <w:rFonts w:ascii="Times New Roman" w:eastAsia="等线" w:hAnsi="Times New Roman" w:cs="Times New Roman"/>
          <w:color w:val="000000"/>
          <w:sz w:val="24"/>
          <w:szCs w:val="24"/>
        </w:rPr>
        <w:t xml:space="preserve"> </w:t>
      </w:r>
      <w:r w:rsidRPr="006F2325">
        <w:rPr>
          <w:rFonts w:ascii="Times New Roman" w:eastAsia="等线" w:hAnsi="Times New Roman" w:cs="Times New Roman"/>
          <w:noProof/>
          <w:color w:val="000000"/>
          <w:sz w:val="24"/>
          <w:szCs w:val="24"/>
        </w:rPr>
        <w:t>[38, 51, 52]</w:t>
      </w:r>
      <w:r w:rsidRPr="006F2325">
        <w:rPr>
          <w:rFonts w:ascii="Times New Roman" w:eastAsia="等线" w:hAnsi="Times New Roman" w:cs="Times New Roman"/>
          <w:color w:val="000000"/>
          <w:sz w:val="24"/>
          <w:szCs w:val="24"/>
        </w:rPr>
        <w:t>.</w:t>
      </w:r>
    </w:p>
    <w:p w14:paraId="425CC7E7" w14:textId="77777777" w:rsidR="002C20A4" w:rsidRPr="006F2325" w:rsidRDefault="002C20A4" w:rsidP="006F2325">
      <w:pPr>
        <w:spacing w:line="480" w:lineRule="auto"/>
        <w:rPr>
          <w:rFonts w:ascii="Times New Roman" w:eastAsia="等线" w:hAnsi="Times New Roman" w:cs="Times New Roman"/>
          <w:b/>
          <w:sz w:val="28"/>
          <w:szCs w:val="30"/>
        </w:rPr>
      </w:pPr>
      <w:r w:rsidRPr="006F2325">
        <w:rPr>
          <w:rFonts w:ascii="Times New Roman" w:eastAsia="等线" w:hAnsi="Times New Roman" w:cs="Times New Roman"/>
          <w:b/>
          <w:sz w:val="30"/>
          <w:szCs w:val="30"/>
        </w:rPr>
        <w:t xml:space="preserve">4. </w:t>
      </w:r>
      <w:r w:rsidRPr="0033469E">
        <w:rPr>
          <w:rFonts w:ascii="Times New Roman" w:eastAsia="等线" w:hAnsi="Times New Roman" w:cs="Times New Roman"/>
          <w:b/>
          <w:sz w:val="30"/>
          <w:szCs w:val="30"/>
          <w:highlight w:val="yellow"/>
        </w:rPr>
        <w:t>Interactions bet</w:t>
      </w:r>
      <w:r w:rsidRPr="00CE50EA">
        <w:rPr>
          <w:rFonts w:ascii="Times New Roman" w:eastAsia="等线" w:hAnsi="Times New Roman" w:cs="Times New Roman"/>
          <w:b/>
          <w:sz w:val="30"/>
          <w:szCs w:val="30"/>
          <w:highlight w:val="yellow"/>
        </w:rPr>
        <w:t xml:space="preserve">ween </w:t>
      </w:r>
      <w:r w:rsidRPr="00CE50EA">
        <w:rPr>
          <w:rFonts w:ascii="Times New Roman" w:eastAsia="等线" w:hAnsi="Times New Roman" w:cs="Times New Roman"/>
          <w:b/>
          <w:sz w:val="28"/>
          <w:szCs w:val="30"/>
          <w:highlight w:val="yellow"/>
        </w:rPr>
        <w:t>R</w:t>
      </w:r>
      <w:r w:rsidRPr="0033469E">
        <w:rPr>
          <w:rFonts w:ascii="Times New Roman" w:eastAsia="等线" w:hAnsi="Times New Roman" w:cs="Times New Roman"/>
          <w:b/>
          <w:sz w:val="28"/>
          <w:szCs w:val="30"/>
          <w:highlight w:val="yellow"/>
        </w:rPr>
        <w:t>OS and AKT in CECs</w:t>
      </w:r>
    </w:p>
    <w:p w14:paraId="7C6DB62A"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ROS are the byproducts of oxygen and are produced due to cellular metabolism, and regulate the redox balance, proliferation, cytotoxicity, and metabolic adaptation in a concentration-dependent manner </w:t>
      </w:r>
      <w:r w:rsidRPr="006F2325">
        <w:rPr>
          <w:rFonts w:ascii="Times New Roman" w:eastAsia="等线" w:hAnsi="Times New Roman" w:cs="Times New Roman"/>
          <w:noProof/>
          <w:sz w:val="24"/>
          <w:szCs w:val="24"/>
        </w:rPr>
        <w:t>[47, 53-56]</w:t>
      </w:r>
      <w:r w:rsidRPr="006F2325">
        <w:rPr>
          <w:rFonts w:ascii="Times New Roman" w:eastAsia="等线" w:hAnsi="Times New Roman" w:cs="Times New Roman"/>
          <w:sz w:val="24"/>
          <w:szCs w:val="24"/>
        </w:rPr>
        <w:t>.</w:t>
      </w:r>
      <w:bookmarkStart w:id="30" w:name="_Hlk98950523"/>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In the CE, ROS production is triggered by damage outside the eye (including chemical- or UV light-induced damage, and mechanical damage), as well as by inflammatory factors in the aqueous humour or tears </w:t>
      </w:r>
      <w:r w:rsidRPr="006F2325">
        <w:rPr>
          <w:rFonts w:ascii="Times New Roman" w:eastAsia="等线" w:hAnsi="Times New Roman" w:cs="Times New Roman"/>
          <w:noProof/>
          <w:sz w:val="24"/>
          <w:szCs w:val="24"/>
        </w:rPr>
        <w:t>[57-59]</w:t>
      </w:r>
      <w:r w:rsidRPr="006F2325">
        <w:rPr>
          <w:rFonts w:ascii="Times New Roman" w:eastAsia="等线" w:hAnsi="Times New Roman" w:cs="Times New Roman"/>
          <w:sz w:val="24"/>
          <w:szCs w:val="24"/>
        </w:rPr>
        <w:t>.</w:t>
      </w:r>
      <w:bookmarkEnd w:id="30"/>
    </w:p>
    <w:p w14:paraId="17F273E1" w14:textId="77777777" w:rsidR="002C20A4" w:rsidRPr="006F2325" w:rsidRDefault="002C20A4" w:rsidP="006F2325">
      <w:pPr>
        <w:spacing w:line="480" w:lineRule="auto"/>
        <w:rPr>
          <w:rFonts w:ascii="Times New Roman" w:eastAsia="等线" w:hAnsi="Times New Roman" w:cs="Times New Roman"/>
          <w:b/>
          <w:color w:val="FF0000"/>
          <w:sz w:val="28"/>
          <w:szCs w:val="30"/>
        </w:rPr>
      </w:pPr>
      <w:r w:rsidRPr="006F2325">
        <w:rPr>
          <w:rFonts w:ascii="Times New Roman" w:eastAsia="等线" w:hAnsi="Times New Roman" w:cs="Times New Roman"/>
          <w:b/>
          <w:sz w:val="28"/>
          <w:szCs w:val="30"/>
        </w:rPr>
        <w:t>4.1 Extreme environments</w:t>
      </w:r>
      <w:r w:rsidRPr="002C20A4">
        <w:rPr>
          <w:rFonts w:ascii="Times New Roman" w:eastAsia="等线" w:hAnsi="Times New Roman" w:cs="Times New Roman" w:hint="eastAsia"/>
          <w:b/>
          <w:sz w:val="28"/>
          <w:szCs w:val="30"/>
          <w:highlight w:val="yellow"/>
        </w:rPr>
        <w:t>-induced</w:t>
      </w:r>
      <w:r>
        <w:rPr>
          <w:rFonts w:ascii="Times New Roman" w:eastAsia="等线" w:hAnsi="Times New Roman" w:cs="Times New Roman"/>
          <w:b/>
          <w:sz w:val="28"/>
          <w:szCs w:val="30"/>
        </w:rPr>
        <w:t xml:space="preserve"> </w:t>
      </w:r>
      <w:r w:rsidRPr="006F2325">
        <w:rPr>
          <w:rFonts w:ascii="Times New Roman" w:eastAsia="等线" w:hAnsi="Times New Roman" w:cs="Times New Roman"/>
          <w:b/>
          <w:sz w:val="28"/>
          <w:szCs w:val="30"/>
        </w:rPr>
        <w:t>excessive accumulation of ROS</w:t>
      </w:r>
    </w:p>
    <w:p w14:paraId="4B5433B6"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Extreme environments including </w:t>
      </w:r>
      <w:r w:rsidRPr="006F2325">
        <w:rPr>
          <w:rFonts w:ascii="Times New Roman" w:eastAsia="等线" w:hAnsi="Times New Roman" w:cs="Times New Roman"/>
          <w:color w:val="000000" w:themeColor="text1"/>
          <w:sz w:val="24"/>
          <w:szCs w:val="24"/>
          <w:u w:color="FFFFFF" w:themeColor="background1"/>
        </w:rPr>
        <w:t>hyperglycaemic</w:t>
      </w:r>
      <w:r w:rsidRPr="006F2325">
        <w:rPr>
          <w:rFonts w:ascii="Times New Roman" w:eastAsia="等线" w:hAnsi="Times New Roman" w:cs="Times New Roman"/>
          <w:sz w:val="24"/>
          <w:szCs w:val="24"/>
        </w:rPr>
        <w:t xml:space="preserve"> and hyperosmolar environments may cause excess ROS accumulation, </w:t>
      </w:r>
      <w:r w:rsidRPr="00EA298C">
        <w:rPr>
          <w:rFonts w:ascii="Times New Roman" w:eastAsia="等线" w:hAnsi="Times New Roman" w:cs="Times New Roman"/>
          <w:sz w:val="24"/>
          <w:szCs w:val="24"/>
          <w:highlight w:val="yellow"/>
        </w:rPr>
        <w:t>which is</w:t>
      </w:r>
      <w:r w:rsidRPr="006F2325">
        <w:rPr>
          <w:rFonts w:ascii="Times New Roman" w:eastAsia="等线" w:hAnsi="Times New Roman" w:cs="Times New Roman"/>
          <w:sz w:val="24"/>
          <w:szCs w:val="24"/>
        </w:rPr>
        <w:t xml:space="preserve"> considered an upstream suppressor of the EGFR-mediated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and delays healing of the CE </w:t>
      </w:r>
      <w:r w:rsidRPr="006F2325">
        <w:rPr>
          <w:rFonts w:ascii="Times New Roman" w:eastAsia="等线" w:hAnsi="Times New Roman" w:cs="Times New Roman"/>
          <w:noProof/>
          <w:sz w:val="24"/>
          <w:szCs w:val="24"/>
        </w:rPr>
        <w:t>[60]</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i/>
          <w:sz w:val="24"/>
          <w:szCs w:val="24"/>
        </w:rPr>
        <w:t>In vitro</w:t>
      </w:r>
      <w:r w:rsidRPr="006F2325">
        <w:rPr>
          <w:rFonts w:ascii="Times New Roman" w:eastAsia="等线" w:hAnsi="Times New Roman" w:cs="Times New Roman"/>
          <w:sz w:val="24"/>
          <w:szCs w:val="24"/>
        </w:rPr>
        <w:t xml:space="preserve"> and </w:t>
      </w:r>
      <w:r w:rsidRPr="006F2325">
        <w:rPr>
          <w:rFonts w:ascii="Times New Roman" w:eastAsia="等线" w:hAnsi="Times New Roman" w:cs="Times New Roman"/>
          <w:i/>
          <w:sz w:val="24"/>
          <w:szCs w:val="24"/>
        </w:rPr>
        <w:t>in vivo</w:t>
      </w:r>
      <w:r w:rsidRPr="006F2325" w:rsidDel="00BC4BEA">
        <w:rPr>
          <w:rFonts w:ascii="Times New Roman" w:eastAsia="等线" w:hAnsi="Times New Roman" w:cs="Times New Roman"/>
          <w:sz w:val="24"/>
          <w:szCs w:val="24"/>
        </w:rPr>
        <w:t xml:space="preserve"> </w:t>
      </w:r>
      <w:r w:rsidRPr="006F2325">
        <w:rPr>
          <w:rFonts w:ascii="Times New Roman" w:eastAsia="等线" w:hAnsi="Times New Roman" w:cs="Times New Roman"/>
          <w:sz w:val="24"/>
          <w:szCs w:val="24"/>
        </w:rPr>
        <w:t xml:space="preserve">studies have shown that inhibition of ROS production reactivates </w:t>
      </w:r>
      <w:r w:rsidRPr="006F2325">
        <w:rPr>
          <w:rFonts w:ascii="Times New Roman" w:eastAsia="等线" w:hAnsi="Times New Roman" w:cs="Times New Roman"/>
          <w:sz w:val="24"/>
          <w:szCs w:val="24"/>
        </w:rPr>
        <w:lastRenderedPageBreak/>
        <w:t xml:space="preserve">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which decreases apoptosis and inflammation in CECs </w:t>
      </w:r>
      <w:r w:rsidRPr="006F2325">
        <w:rPr>
          <w:rFonts w:ascii="Times New Roman" w:eastAsia="等线" w:hAnsi="Times New Roman" w:cs="Times New Roman"/>
          <w:noProof/>
          <w:sz w:val="24"/>
          <w:szCs w:val="24"/>
        </w:rPr>
        <w:t>[22, 23]</w:t>
      </w:r>
      <w:r w:rsidRPr="006F2325">
        <w:rPr>
          <w:rFonts w:ascii="Times New Roman" w:eastAsia="等线" w:hAnsi="Times New Roman" w:cs="Times New Roman"/>
          <w:sz w:val="24"/>
          <w:szCs w:val="24"/>
        </w:rPr>
        <w:t xml:space="preserve">. Furthermore, the expression of the cellular tumour antigen P53, a PI3K/AKT substrate, is upregulated by ROS in hCECs </w:t>
      </w:r>
      <w:r w:rsidRPr="006F2325">
        <w:rPr>
          <w:rFonts w:ascii="Times New Roman" w:eastAsia="等线" w:hAnsi="Times New Roman" w:cs="Times New Roman"/>
          <w:noProof/>
          <w:sz w:val="24"/>
          <w:szCs w:val="24"/>
        </w:rPr>
        <w:t>[61, 62]</w:t>
      </w:r>
      <w:r w:rsidRPr="006F2325">
        <w:rPr>
          <w:rFonts w:ascii="Times New Roman" w:eastAsia="等线" w:hAnsi="Times New Roman" w:cs="Times New Roman"/>
          <w:sz w:val="24"/>
          <w:szCs w:val="24"/>
        </w:rPr>
        <w:t xml:space="preserve">. In this manner, ROS increase Bcl-2, Bcl-2-associated X, and cytochrome c levels in mitochondria, and Cas-3, Cas-8, and Cas-9 levels in the cytosol and cleave poly (ADP-ribose) polymerase in the nucleus. These proteins are all substrates of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and apoptosis-related proteins </w:t>
      </w:r>
      <w:r w:rsidRPr="006F2325">
        <w:rPr>
          <w:rFonts w:ascii="Times New Roman" w:eastAsia="等线" w:hAnsi="Times New Roman" w:cs="Times New Roman"/>
          <w:noProof/>
          <w:sz w:val="24"/>
          <w:szCs w:val="24"/>
        </w:rPr>
        <w:t>[61, 63]</w:t>
      </w:r>
      <w:r w:rsidRPr="006F2325">
        <w:rPr>
          <w:rFonts w:ascii="Times New Roman" w:eastAsia="等线" w:hAnsi="Times New Roman" w:cs="Times New Roman"/>
          <w:sz w:val="24"/>
          <w:szCs w:val="24"/>
        </w:rPr>
        <w:t>.</w:t>
      </w:r>
    </w:p>
    <w:p w14:paraId="7850B710"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r w:rsidRPr="006F2325">
        <w:rPr>
          <w:rFonts w:ascii="Times New Roman" w:eastAsia="等线" w:hAnsi="Times New Roman" w:cs="Times New Roman"/>
          <w:sz w:val="24"/>
          <w:szCs w:val="24"/>
        </w:rPr>
        <w:t xml:space="preserve">The role of ROS in diabetes and </w:t>
      </w:r>
      <w:r w:rsidRPr="006F2325">
        <w:rPr>
          <w:rFonts w:ascii="Times New Roman" w:eastAsia="等线" w:hAnsi="Times New Roman" w:cs="Times New Roman"/>
          <w:color w:val="000000" w:themeColor="text1"/>
          <w:sz w:val="24"/>
          <w:szCs w:val="24"/>
          <w:u w:color="FFFFFF" w:themeColor="background1"/>
        </w:rPr>
        <w:t>hyperglycaemia</w:t>
      </w:r>
      <w:r w:rsidRPr="006F2325">
        <w:rPr>
          <w:rFonts w:ascii="Times New Roman" w:eastAsia="等线" w:hAnsi="Times New Roman" w:cs="Times New Roman"/>
          <w:sz w:val="24"/>
          <w:szCs w:val="24"/>
        </w:rPr>
        <w:t xml:space="preserve"> is discussed in section 5.1.1.</w:t>
      </w:r>
    </w:p>
    <w:p w14:paraId="4B8BDADF" w14:textId="77777777" w:rsidR="002C20A4" w:rsidRPr="006F2325" w:rsidRDefault="002C20A4" w:rsidP="006F2325">
      <w:pPr>
        <w:spacing w:line="480" w:lineRule="auto"/>
        <w:rPr>
          <w:rFonts w:ascii="Times New Roman" w:eastAsia="等线" w:hAnsi="Times New Roman" w:cs="Times New Roman"/>
          <w:b/>
          <w:color w:val="FF0000"/>
          <w:sz w:val="28"/>
          <w:szCs w:val="30"/>
        </w:rPr>
      </w:pPr>
      <w:r w:rsidRPr="006F2325">
        <w:rPr>
          <w:rFonts w:ascii="Times New Roman" w:eastAsia="等线" w:hAnsi="Times New Roman" w:cs="Times New Roman"/>
          <w:b/>
          <w:sz w:val="28"/>
          <w:szCs w:val="24"/>
        </w:rPr>
        <w:t>4.2 Low or moderate levels of</w:t>
      </w:r>
      <w:r w:rsidRPr="006F2325">
        <w:rPr>
          <w:rFonts w:ascii="Times New Roman" w:eastAsia="等线" w:hAnsi="Times New Roman" w:cs="Times New Roman"/>
          <w:b/>
          <w:sz w:val="32"/>
          <w:szCs w:val="30"/>
        </w:rPr>
        <w:t xml:space="preserve"> </w:t>
      </w:r>
      <w:r w:rsidRPr="006F2325">
        <w:rPr>
          <w:rFonts w:ascii="Times New Roman" w:eastAsia="等线" w:hAnsi="Times New Roman" w:cs="Times New Roman"/>
          <w:b/>
          <w:sz w:val="28"/>
          <w:szCs w:val="30"/>
        </w:rPr>
        <w:t xml:space="preserve">ROS </w:t>
      </w:r>
    </w:p>
    <w:p w14:paraId="4F5872CE" w14:textId="77777777" w:rsidR="002C20A4" w:rsidRPr="006F2325" w:rsidRDefault="002C20A4" w:rsidP="006F2325">
      <w:pPr>
        <w:spacing w:line="480" w:lineRule="auto"/>
        <w:ind w:firstLineChars="100" w:firstLine="240"/>
        <w:rPr>
          <w:rFonts w:ascii="Times New Roman" w:eastAsia="等线" w:hAnsi="Times New Roman" w:cs="Times New Roman"/>
          <w:sz w:val="24"/>
          <w:szCs w:val="24"/>
        </w:rPr>
      </w:pPr>
      <w:bookmarkStart w:id="31" w:name="_Hlk99370215"/>
      <w:bookmarkStart w:id="32" w:name="_Hlk99997675"/>
      <w:r w:rsidRPr="006F2325">
        <w:rPr>
          <w:rFonts w:ascii="Times New Roman" w:eastAsia="等线" w:hAnsi="Times New Roman" w:cs="Times New Roman"/>
          <w:sz w:val="24"/>
          <w:szCs w:val="24"/>
        </w:rPr>
        <w:t xml:space="preserve">Interestingly, ROS production may also be induced by growth factors, and may function as a second messenger to activate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at low or moderate levels. These effects stimulate the proliferation and migration of healthy CECs, inhibit apoptosis of healthy CECs, and induce healing of the CE </w:t>
      </w:r>
      <w:r w:rsidRPr="006F2325">
        <w:rPr>
          <w:rFonts w:ascii="Times New Roman" w:eastAsia="等线" w:hAnsi="Times New Roman" w:cs="Times New Roman"/>
          <w:i/>
          <w:sz w:val="24"/>
          <w:szCs w:val="24"/>
        </w:rPr>
        <w:t xml:space="preserve">in vitro </w:t>
      </w:r>
      <w:r w:rsidRPr="006F2325">
        <w:rPr>
          <w:rFonts w:ascii="Times New Roman" w:eastAsia="等线" w:hAnsi="Times New Roman" w:cs="Times New Roman"/>
          <w:sz w:val="24"/>
          <w:szCs w:val="24"/>
        </w:rPr>
        <w:t>(in human and rabbit CECs)</w:t>
      </w:r>
      <w:r w:rsidRPr="006F2325">
        <w:rPr>
          <w:rFonts w:ascii="Times New Roman" w:eastAsia="等线" w:hAnsi="Times New Roman" w:cs="Times New Roman"/>
          <w:i/>
          <w:sz w:val="24"/>
          <w:szCs w:val="24"/>
        </w:rPr>
        <w:t xml:space="preserve"> </w:t>
      </w:r>
      <w:r w:rsidRPr="006F2325">
        <w:rPr>
          <w:rFonts w:ascii="Times New Roman" w:eastAsia="等线" w:hAnsi="Times New Roman" w:cs="Times New Roman"/>
          <w:sz w:val="24"/>
          <w:szCs w:val="24"/>
        </w:rPr>
        <w:t>and</w:t>
      </w:r>
      <w:r w:rsidRPr="006F2325">
        <w:rPr>
          <w:rFonts w:ascii="Times New Roman" w:eastAsia="等线" w:hAnsi="Times New Roman" w:cs="Times New Roman"/>
          <w:i/>
          <w:sz w:val="24"/>
          <w:szCs w:val="24"/>
        </w:rPr>
        <w:t xml:space="preserve"> ex vivo </w:t>
      </w:r>
      <w:r w:rsidRPr="006F2325">
        <w:rPr>
          <w:rFonts w:ascii="Times New Roman" w:eastAsia="等线" w:hAnsi="Times New Roman" w:cs="Times New Roman"/>
          <w:sz w:val="24"/>
          <w:szCs w:val="24"/>
        </w:rPr>
        <w:t>(in pig cornea)</w:t>
      </w:r>
      <w:r w:rsidRPr="006F2325">
        <w:rPr>
          <w:rFonts w:ascii="Times New Roman" w:eastAsia="等线" w:hAnsi="Times New Roman" w:cs="Times New Roman"/>
          <w:i/>
          <w:sz w:val="24"/>
          <w:szCs w:val="24"/>
        </w:rPr>
        <w:t xml:space="preserve"> </w:t>
      </w:r>
      <w:r w:rsidRPr="006F2325">
        <w:rPr>
          <w:rFonts w:ascii="Times New Roman" w:eastAsia="等线" w:hAnsi="Times New Roman" w:cs="Times New Roman"/>
          <w:noProof/>
          <w:sz w:val="24"/>
          <w:szCs w:val="24"/>
        </w:rPr>
        <w:t>[64, 65]</w:t>
      </w:r>
      <w:r w:rsidRPr="006F2325">
        <w:rPr>
          <w:rFonts w:ascii="Times New Roman" w:eastAsia="等线" w:hAnsi="Times New Roman" w:cs="Times New Roman"/>
          <w:sz w:val="24"/>
          <w:szCs w:val="24"/>
        </w:rPr>
        <w:t xml:space="preserve">. </w:t>
      </w:r>
      <w:bookmarkStart w:id="33" w:name="_Hlk99370114"/>
      <w:r w:rsidRPr="006F2325">
        <w:rPr>
          <w:rFonts w:ascii="Times New Roman" w:eastAsia="等线" w:hAnsi="Times New Roman" w:cs="Times New Roman"/>
          <w:sz w:val="24"/>
          <w:szCs w:val="24"/>
        </w:rPr>
        <w:t xml:space="preserve">Although no studies have investigated the targets of the 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in CECs</w:t>
      </w:r>
      <w:r w:rsidRPr="006F2325">
        <w:rPr>
          <w:rFonts w:ascii="Times New Roman" w:eastAsia="等线" w:hAnsi="Times New Roman" w:cs="Times New Roman"/>
          <w:color w:val="000000"/>
          <w:sz w:val="24"/>
          <w:szCs w:val="24"/>
        </w:rPr>
        <w:t xml:space="preserve">, a study in another cell type indicated that the possible targets of ROS in the PI3K/AKT signalling pathway include phosphatase and tensin homologue, the P85 domain of PI3K </w:t>
      </w:r>
      <w:r w:rsidRPr="006F2325">
        <w:rPr>
          <w:rFonts w:ascii="Times New Roman" w:eastAsia="等线" w:hAnsi="Times New Roman" w:cs="Times New Roman"/>
          <w:noProof/>
          <w:color w:val="000000"/>
          <w:sz w:val="24"/>
          <w:szCs w:val="24"/>
        </w:rPr>
        <w:t>[66]</w:t>
      </w:r>
      <w:bookmarkEnd w:id="33"/>
      <w:r w:rsidRPr="006F2325">
        <w:rPr>
          <w:rFonts w:ascii="Times New Roman" w:eastAsia="等线" w:hAnsi="Times New Roman" w:cs="Times New Roman"/>
          <w:color w:val="000000"/>
          <w:sz w:val="24"/>
          <w:szCs w:val="24"/>
        </w:rPr>
        <w:t>.</w:t>
      </w:r>
      <w:bookmarkEnd w:id="31"/>
      <w:r w:rsidRPr="006F2325">
        <w:rPr>
          <w:rFonts w:ascii="Times New Roman" w:eastAsia="等线" w:hAnsi="Times New Roman" w:cs="Times New Roman"/>
          <w:color w:val="000000"/>
          <w:sz w:val="24"/>
          <w:szCs w:val="24"/>
        </w:rPr>
        <w:t xml:space="preserve"> Phosphatase and tensin homologue</w:t>
      </w:r>
      <w:r w:rsidRPr="006F2325">
        <w:rPr>
          <w:rFonts w:ascii="Times New Roman" w:eastAsia="等线" w:hAnsi="Times New Roman" w:cs="Times New Roman"/>
          <w:sz w:val="24"/>
          <w:szCs w:val="24"/>
        </w:rPr>
        <w:t xml:space="preserve"> impairs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via the hydrolysis of phosphorylation sites of PI3K, PIP2, and PIP3, resulting in delayed proliferation and migration of CECs </w:t>
      </w:r>
      <w:r w:rsidRPr="006F2325">
        <w:rPr>
          <w:rFonts w:ascii="Times New Roman" w:eastAsia="等线" w:hAnsi="Times New Roman" w:cs="Times New Roman"/>
          <w:noProof/>
          <w:sz w:val="24"/>
          <w:szCs w:val="24"/>
        </w:rPr>
        <w:t>[67]</w:t>
      </w:r>
      <w:r w:rsidRPr="006F2325">
        <w:rPr>
          <w:rFonts w:ascii="Times New Roman" w:eastAsia="等线" w:hAnsi="Times New Roman" w:cs="Times New Roman"/>
          <w:sz w:val="24"/>
          <w:szCs w:val="24"/>
        </w:rPr>
        <w:t xml:space="preserve">. </w:t>
      </w:r>
      <w:bookmarkStart w:id="34" w:name="_Hlk99369923"/>
      <w:r w:rsidRPr="006F2325">
        <w:rPr>
          <w:rFonts w:ascii="Times New Roman" w:eastAsia="等线" w:hAnsi="Times New Roman" w:cs="Times New Roman"/>
          <w:sz w:val="24"/>
          <w:szCs w:val="24"/>
        </w:rPr>
        <w:t xml:space="preserve">Studies in CECs and lens epithelial cells suggest that the production of very low levels of ROS may be triggered by growth factors and produced by NADPH oxidase in the plasma membrane rather than mitochondria to activate PI3K/AKT signalling, </w:t>
      </w:r>
      <w:r w:rsidRPr="006F2325">
        <w:rPr>
          <w:rFonts w:ascii="Times New Roman" w:eastAsia="等线" w:hAnsi="Times New Roman" w:cs="Times New Roman"/>
          <w:sz w:val="24"/>
          <w:szCs w:val="24"/>
        </w:rPr>
        <w:lastRenderedPageBreak/>
        <w:t xml:space="preserve">however, this result requires further confirmation in CECs </w:t>
      </w:r>
      <w:r w:rsidRPr="006F2325">
        <w:rPr>
          <w:rFonts w:ascii="Times New Roman" w:eastAsia="等线" w:hAnsi="Times New Roman" w:cs="Times New Roman"/>
          <w:noProof/>
          <w:sz w:val="24"/>
          <w:szCs w:val="24"/>
        </w:rPr>
        <w:t>[64, 68-70]</w:t>
      </w:r>
      <w:r w:rsidRPr="006F2325">
        <w:rPr>
          <w:rFonts w:ascii="Times New Roman" w:eastAsia="等线" w:hAnsi="Times New Roman" w:cs="Times New Roman"/>
          <w:sz w:val="24"/>
          <w:szCs w:val="24"/>
        </w:rPr>
        <w:t xml:space="preserve">. </w:t>
      </w:r>
      <w:bookmarkEnd w:id="32"/>
      <w:bookmarkEnd w:id="34"/>
    </w:p>
    <w:p w14:paraId="0F3921DB" w14:textId="77777777" w:rsidR="002C20A4" w:rsidRPr="006F2325" w:rsidRDefault="002C20A4" w:rsidP="006F2325">
      <w:pPr>
        <w:spacing w:line="480" w:lineRule="auto"/>
        <w:rPr>
          <w:rFonts w:ascii="Times New Roman" w:eastAsia="等线" w:hAnsi="Times New Roman" w:cs="Times New Roman"/>
          <w:b/>
          <w:sz w:val="28"/>
        </w:rPr>
      </w:pPr>
      <w:r w:rsidRPr="006F2325">
        <w:rPr>
          <w:rFonts w:ascii="Times New Roman" w:eastAsia="等线" w:hAnsi="Times New Roman" w:cs="Times New Roman"/>
          <w:b/>
          <w:sz w:val="28"/>
        </w:rPr>
        <w:t>5. Diseases, their therapies, and AKT in CECs</w:t>
      </w:r>
      <w:r w:rsidRPr="006F2325">
        <w:rPr>
          <w:rFonts w:ascii="Times New Roman" w:eastAsia="等线" w:hAnsi="Times New Roman" w:cs="Times New Roman"/>
          <w:b/>
          <w:sz w:val="28"/>
        </w:rPr>
        <w:tab/>
      </w:r>
    </w:p>
    <w:p w14:paraId="1DD479F2" w14:textId="77777777" w:rsidR="002C20A4" w:rsidRPr="006F2325" w:rsidRDefault="002C20A4" w:rsidP="006F2325">
      <w:pPr>
        <w:tabs>
          <w:tab w:val="left" w:pos="5794"/>
        </w:tabs>
        <w:spacing w:line="480" w:lineRule="auto"/>
        <w:ind w:firstLineChars="100" w:firstLine="240"/>
        <w:rPr>
          <w:rFonts w:ascii="Times New Roman" w:eastAsia="等线" w:hAnsi="Times New Roman" w:cs="Times New Roman"/>
          <w:b/>
          <w:sz w:val="28"/>
        </w:rPr>
      </w:pPr>
      <w:bookmarkStart w:id="35" w:name="_Hlk99204130"/>
      <w:r w:rsidRPr="006F2325">
        <w:rPr>
          <w:rFonts w:ascii="Times New Roman" w:eastAsia="等线" w:hAnsi="Times New Roman" w:cs="Times New Roman"/>
          <w:sz w:val="24"/>
          <w:szCs w:val="24"/>
        </w:rPr>
        <w:t>In the healthy CE, the levels of phosphorylated PI3K and AKT are</w:t>
      </w:r>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relatively low to maintain the homeostasis of CECs. When the CE is damaged, growth factors and NK-1 </w:t>
      </w:r>
      <w:r>
        <w:rPr>
          <w:rFonts w:ascii="Times New Roman" w:eastAsia="等线" w:hAnsi="Times New Roman" w:cs="Times New Roman"/>
          <w:sz w:val="24"/>
          <w:szCs w:val="24"/>
        </w:rPr>
        <w:t xml:space="preserve">are </w:t>
      </w:r>
      <w:r w:rsidRPr="006F2325">
        <w:rPr>
          <w:rFonts w:ascii="Times New Roman" w:eastAsia="等线" w:hAnsi="Times New Roman" w:cs="Times New Roman"/>
          <w:sz w:val="24"/>
          <w:szCs w:val="24"/>
        </w:rPr>
        <w:t xml:space="preserve">secreted to activate the PI3K/AKT </w:t>
      </w:r>
      <w:r w:rsidRPr="006F2325">
        <w:rPr>
          <w:rFonts w:ascii="Times New Roman" w:eastAsia="等线" w:hAnsi="Times New Roman" w:cs="Times New Roman"/>
          <w:color w:val="000000" w:themeColor="text1"/>
          <w:sz w:val="24"/>
          <w:szCs w:val="24"/>
          <w:u w:color="FFFFFF" w:themeColor="background1"/>
        </w:rPr>
        <w:t>cascade</w:t>
      </w:r>
      <w:r w:rsidRPr="006F2325">
        <w:rPr>
          <w:rFonts w:ascii="Times New Roman" w:eastAsia="等线" w:hAnsi="Times New Roman" w:cs="Times New Roman"/>
          <w:sz w:val="24"/>
          <w:szCs w:val="24"/>
        </w:rPr>
        <w:t xml:space="preserve">, which promotes proliferation and migration and inhibits apoptosis and inflammation of CECs. These effects together enable the healing of the CE. However, under the influence of various factors (such as </w:t>
      </w:r>
      <w:r w:rsidRPr="006F2325">
        <w:rPr>
          <w:rFonts w:ascii="Times New Roman" w:eastAsia="等线" w:hAnsi="Times New Roman" w:cs="Times New Roman"/>
          <w:color w:val="000000" w:themeColor="text1"/>
          <w:sz w:val="24"/>
          <w:szCs w:val="24"/>
          <w:u w:color="FFFFFF" w:themeColor="background1"/>
        </w:rPr>
        <w:t>hyperglycaemia</w:t>
      </w:r>
      <w:r w:rsidRPr="006F2325">
        <w:rPr>
          <w:rFonts w:ascii="Times New Roman" w:eastAsia="等线" w:hAnsi="Times New Roman" w:cs="Times New Roman"/>
          <w:sz w:val="24"/>
          <w:szCs w:val="24"/>
        </w:rPr>
        <w:t>, hyperosmolarity,</w:t>
      </w:r>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excess inflammatory factors and cytokines, toxicants, and microbial infection), both the CE homeostasis and the normal expression of 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are disrupted. These processes are associated with many diseases, including DK,</w:t>
      </w:r>
      <w:r w:rsidRPr="006F2325">
        <w:rPr>
          <w:rFonts w:ascii="Times New Roman" w:hAnsi="Times New Roman" w:cs="Times New Roman"/>
        </w:rPr>
        <w:t xml:space="preserve"> </w:t>
      </w:r>
      <w:r w:rsidRPr="006F2325">
        <w:rPr>
          <w:rFonts w:ascii="Times New Roman" w:eastAsia="等线" w:hAnsi="Times New Roman" w:cs="Times New Roman"/>
          <w:sz w:val="24"/>
          <w:szCs w:val="24"/>
        </w:rPr>
        <w:t xml:space="preserve">DED, and keratitis (Table 2, Figure 3). </w:t>
      </w:r>
      <w:bookmarkEnd w:id="35"/>
      <w:r w:rsidRPr="006F2325">
        <w:rPr>
          <w:rFonts w:ascii="Times New Roman" w:eastAsia="等线" w:hAnsi="Times New Roman" w:cs="Times New Roman"/>
          <w:sz w:val="24"/>
          <w:szCs w:val="24"/>
        </w:rPr>
        <w:t xml:space="preserve">Hence, molecules targeting the PI3K/AKT </w:t>
      </w:r>
      <w:r w:rsidRPr="006F2325">
        <w:rPr>
          <w:rFonts w:ascii="Times New Roman" w:eastAsia="等线" w:hAnsi="Times New Roman" w:cs="Times New Roman"/>
          <w:color w:val="000000" w:themeColor="text1"/>
          <w:sz w:val="24"/>
          <w:szCs w:val="24"/>
          <w:u w:color="FFFFFF" w:themeColor="background1"/>
        </w:rPr>
        <w:t>signalling</w:t>
      </w:r>
      <w:r w:rsidRPr="006F2325">
        <w:rPr>
          <w:rFonts w:ascii="Times New Roman" w:eastAsia="等线" w:hAnsi="Times New Roman" w:cs="Times New Roman"/>
          <w:sz w:val="24"/>
          <w:szCs w:val="24"/>
        </w:rPr>
        <w:t xml:space="preserve"> pathway have become promising therapies </w:t>
      </w:r>
      <w:r w:rsidRPr="006F2325">
        <w:rPr>
          <w:rFonts w:ascii="Times New Roman" w:eastAsia="等线" w:hAnsi="Times New Roman" w:cs="Times New Roman"/>
          <w:noProof/>
          <w:sz w:val="24"/>
          <w:szCs w:val="24"/>
        </w:rPr>
        <w:t>[22, 71-73]</w:t>
      </w:r>
      <w:r w:rsidRPr="006F2325">
        <w:rPr>
          <w:rFonts w:ascii="Times New Roman" w:eastAsia="等线" w:hAnsi="Times New Roman" w:cs="Times New Roman"/>
          <w:sz w:val="24"/>
          <w:szCs w:val="24"/>
        </w:rPr>
        <w:t>.</w:t>
      </w:r>
    </w:p>
    <w:p w14:paraId="7B56F2E8" w14:textId="77777777" w:rsidR="002C20A4" w:rsidRPr="006F2325" w:rsidRDefault="002C20A4" w:rsidP="006F2325">
      <w:pPr>
        <w:spacing w:line="480" w:lineRule="auto"/>
        <w:rPr>
          <w:rFonts w:ascii="Times New Roman" w:eastAsia="等线" w:hAnsi="Times New Roman" w:cs="Times New Roman"/>
          <w:b/>
          <w:sz w:val="24"/>
        </w:rPr>
      </w:pPr>
      <w:r w:rsidRPr="006F2325">
        <w:rPr>
          <w:rFonts w:ascii="Times New Roman" w:eastAsia="等线" w:hAnsi="Times New Roman" w:cs="Times New Roman"/>
          <w:b/>
          <w:sz w:val="24"/>
        </w:rPr>
        <w:t>5.1</w:t>
      </w:r>
      <w:r w:rsidRPr="006F2325">
        <w:rPr>
          <w:rFonts w:ascii="Times New Roman" w:eastAsia="等线" w:hAnsi="Times New Roman" w:cs="Times New Roman"/>
          <w:b/>
          <w:sz w:val="24"/>
        </w:rPr>
        <w:tab/>
        <w:t xml:space="preserve">Diabetes-associated </w:t>
      </w:r>
      <w:r w:rsidRPr="006F2325">
        <w:rPr>
          <w:rFonts w:ascii="Times New Roman" w:eastAsia="等线" w:hAnsi="Times New Roman" w:cs="Times New Roman"/>
          <w:b/>
          <w:color w:val="000000" w:themeColor="text1"/>
          <w:sz w:val="24"/>
          <w:u w:color="FFFFFF" w:themeColor="background1"/>
        </w:rPr>
        <w:t>hyperglycaemia</w:t>
      </w:r>
      <w:r w:rsidRPr="006F2325">
        <w:rPr>
          <w:rFonts w:ascii="Times New Roman" w:eastAsia="等线" w:hAnsi="Times New Roman" w:cs="Times New Roman"/>
          <w:b/>
          <w:sz w:val="24"/>
        </w:rPr>
        <w:t xml:space="preserve"> inhibits PI3K/AKT signalling to induce apoptosis and inflammation, and delay wound healing</w:t>
      </w:r>
    </w:p>
    <w:p w14:paraId="51B19EBF"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Diabetes-associated </w:t>
      </w:r>
      <w:r w:rsidRPr="006F2325">
        <w:rPr>
          <w:rFonts w:ascii="Times New Roman" w:eastAsia="等线" w:hAnsi="Times New Roman" w:cs="Times New Roman"/>
          <w:color w:val="000000" w:themeColor="text1"/>
          <w:sz w:val="24"/>
          <w:u w:color="FFFFFF" w:themeColor="background1"/>
        </w:rPr>
        <w:t>hyperglycaemia</w:t>
      </w:r>
      <w:r w:rsidRPr="006F2325">
        <w:rPr>
          <w:rFonts w:ascii="Times New Roman" w:eastAsia="等线" w:hAnsi="Times New Roman" w:cs="Times New Roman"/>
          <w:sz w:val="24"/>
        </w:rPr>
        <w:t xml:space="preserve"> stimulates apoptosis and inflammation but inhibits migration and tight junctions in CECs, thus causing DK </w:t>
      </w:r>
      <w:r w:rsidRPr="006F2325">
        <w:rPr>
          <w:rFonts w:ascii="Times New Roman" w:eastAsia="等线" w:hAnsi="Times New Roman" w:cs="Times New Roman"/>
          <w:noProof/>
          <w:sz w:val="24"/>
        </w:rPr>
        <w:t>[20]</w:t>
      </w:r>
      <w:r w:rsidRPr="006F2325">
        <w:rPr>
          <w:rFonts w:ascii="Times New Roman" w:eastAsia="等线" w:hAnsi="Times New Roman" w:cs="Times New Roman"/>
          <w:sz w:val="24"/>
        </w:rPr>
        <w:t xml:space="preserve">. </w:t>
      </w:r>
    </w:p>
    <w:p w14:paraId="2623F7F4" w14:textId="77777777" w:rsidR="002C20A4" w:rsidRPr="006F2325" w:rsidRDefault="002C20A4" w:rsidP="006F2325">
      <w:pPr>
        <w:spacing w:line="480" w:lineRule="auto"/>
        <w:rPr>
          <w:rFonts w:ascii="Times New Roman" w:eastAsia="等线" w:hAnsi="Times New Roman" w:cs="Times New Roman"/>
          <w:b/>
          <w:sz w:val="24"/>
          <w:szCs w:val="24"/>
        </w:rPr>
      </w:pPr>
      <w:r w:rsidRPr="006F2325">
        <w:rPr>
          <w:rFonts w:ascii="Times New Roman" w:eastAsia="等线" w:hAnsi="Times New Roman" w:cs="Times New Roman"/>
          <w:b/>
          <w:sz w:val="24"/>
          <w:szCs w:val="24"/>
        </w:rPr>
        <w:t>5.1.1</w:t>
      </w:r>
      <w:r w:rsidRPr="006F2325">
        <w:rPr>
          <w:rFonts w:ascii="Times New Roman" w:eastAsia="等线" w:hAnsi="Times New Roman" w:cs="Times New Roman"/>
          <w:b/>
          <w:sz w:val="24"/>
          <w:szCs w:val="24"/>
        </w:rPr>
        <w:tab/>
      </w:r>
      <w:r w:rsidRPr="006F2325">
        <w:rPr>
          <w:rFonts w:ascii="Times New Roman" w:eastAsia="等线" w:hAnsi="Times New Roman" w:cs="Times New Roman"/>
          <w:b/>
          <w:color w:val="000000" w:themeColor="text1"/>
          <w:sz w:val="24"/>
          <w:szCs w:val="24"/>
          <w:u w:color="FFFFFF" w:themeColor="background1"/>
        </w:rPr>
        <w:t>Hyperglycaemia</w:t>
      </w:r>
      <w:r w:rsidRPr="006F2325">
        <w:rPr>
          <w:rFonts w:ascii="Times New Roman" w:eastAsia="等线" w:hAnsi="Times New Roman" w:cs="Times New Roman"/>
          <w:b/>
          <w:sz w:val="24"/>
          <w:szCs w:val="24"/>
        </w:rPr>
        <w:t>-induced excess ROS accumulation inhibits PI3K/AKT signalling to increase apoptosis and delay wound healing</w:t>
      </w:r>
    </w:p>
    <w:p w14:paraId="4CEC1B10"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 Hyperglycaemic conditions induce mitochondrial fragmentation, which leads to ROS overproduction that inactivates PI3K/AKT</w:t>
      </w:r>
      <w:r w:rsidRPr="006F2325">
        <w:rPr>
          <w:rFonts w:ascii="Times New Roman" w:eastAsia="等线" w:hAnsi="Times New Roman" w:cs="Times New Roman"/>
          <w:sz w:val="24"/>
          <w:szCs w:val="24"/>
        </w:rPr>
        <w:t xml:space="preserve"> </w:t>
      </w:r>
      <w:r w:rsidRPr="006F2325">
        <w:rPr>
          <w:rFonts w:ascii="Times New Roman" w:eastAsia="等线" w:hAnsi="Times New Roman" w:cs="Times New Roman"/>
          <w:noProof/>
          <w:sz w:val="24"/>
        </w:rPr>
        <w:t>[74]</w:t>
      </w:r>
      <w:r w:rsidRPr="006F2325">
        <w:rPr>
          <w:rFonts w:ascii="Times New Roman" w:eastAsia="等线" w:hAnsi="Times New Roman" w:cs="Times New Roman"/>
          <w:sz w:val="24"/>
        </w:rPr>
        <w:t>.</w:t>
      </w:r>
      <w:r w:rsidRPr="006F2325">
        <w:rPr>
          <w:rFonts w:ascii="Times New Roman" w:eastAsia="等线" w:hAnsi="Times New Roman" w:cs="Times New Roman"/>
          <w:sz w:val="24"/>
          <w:szCs w:val="24"/>
        </w:rPr>
        <w:t xml:space="preserve"> Silent information regulator 1 (SIRT1) is a substrate of PI3K/AKT signalling that decreases ROS production, </w:t>
      </w:r>
      <w:r w:rsidRPr="006F2325">
        <w:rPr>
          <w:rFonts w:ascii="Times New Roman" w:eastAsia="等线" w:hAnsi="Times New Roman" w:cs="Times New Roman"/>
          <w:sz w:val="24"/>
          <w:szCs w:val="24"/>
        </w:rPr>
        <w:lastRenderedPageBreak/>
        <w:t>apoptosis</w:t>
      </w:r>
      <w:r>
        <w:rPr>
          <w:rFonts w:ascii="Times New Roman" w:eastAsia="等线" w:hAnsi="Times New Roman" w:cs="Times New Roman"/>
          <w:sz w:val="24"/>
          <w:szCs w:val="24"/>
        </w:rPr>
        <w:t>,</w:t>
      </w:r>
      <w:r w:rsidRPr="006F2325">
        <w:rPr>
          <w:rFonts w:ascii="Times New Roman" w:eastAsia="等线" w:hAnsi="Times New Roman" w:cs="Times New Roman"/>
          <w:sz w:val="24"/>
          <w:szCs w:val="24"/>
        </w:rPr>
        <w:t xml:space="preserve"> and </w:t>
      </w:r>
      <w:r w:rsidRPr="006F2325">
        <w:rPr>
          <w:rFonts w:ascii="Times New Roman" w:hAnsi="Times New Roman" w:cs="Times New Roman"/>
          <w:sz w:val="24"/>
        </w:rPr>
        <w:t>endoplasmic reticulum (ER)</w:t>
      </w:r>
      <w:r w:rsidRPr="006F2325">
        <w:rPr>
          <w:rFonts w:ascii="Times New Roman" w:eastAsia="等线" w:hAnsi="Times New Roman" w:cs="Times New Roman"/>
          <w:sz w:val="24"/>
          <w:szCs w:val="24"/>
        </w:rPr>
        <w:t xml:space="preserve"> stress in CECs</w:t>
      </w:r>
      <w:r w:rsidRPr="006F2325">
        <w:rPr>
          <w:rFonts w:ascii="Times New Roman" w:eastAsia="等线" w:hAnsi="Times New Roman" w:cs="Times New Roman"/>
          <w:i/>
          <w:sz w:val="24"/>
          <w:szCs w:val="24"/>
        </w:rPr>
        <w:t xml:space="preserve"> in vitro </w:t>
      </w:r>
      <w:r w:rsidRPr="006F2325">
        <w:rPr>
          <w:rFonts w:ascii="Times New Roman" w:eastAsia="等线" w:hAnsi="Times New Roman" w:cs="Times New Roman"/>
          <w:noProof/>
          <w:sz w:val="24"/>
          <w:szCs w:val="24"/>
        </w:rPr>
        <w:t>[75]</w:t>
      </w:r>
      <w:r w:rsidRPr="006F2325">
        <w:rPr>
          <w:rFonts w:ascii="Times New Roman" w:eastAsia="等线" w:hAnsi="Times New Roman" w:cs="Times New Roman"/>
          <w:sz w:val="24"/>
          <w:szCs w:val="24"/>
        </w:rPr>
        <w:t>.</w:t>
      </w:r>
      <w:r w:rsidRPr="006F2325">
        <w:rPr>
          <w:rFonts w:ascii="Times New Roman" w:eastAsia="等线" w:hAnsi="Times New Roman" w:cs="Times New Roman"/>
          <w:sz w:val="24"/>
        </w:rPr>
        <w:t xml:space="preserve"> </w:t>
      </w:r>
      <w:r w:rsidRPr="006F2325">
        <w:rPr>
          <w:rFonts w:ascii="Times New Roman" w:eastAsia="等线" w:hAnsi="Times New Roman" w:cs="Times New Roman"/>
          <w:color w:val="000000" w:themeColor="text1"/>
          <w:sz w:val="24"/>
          <w:u w:color="FFFFFF" w:themeColor="background1"/>
        </w:rPr>
        <w:t>Hyperglycaemia</w:t>
      </w:r>
      <w:r w:rsidRPr="006F2325">
        <w:rPr>
          <w:rFonts w:ascii="Times New Roman" w:eastAsia="等线" w:hAnsi="Times New Roman" w:cs="Times New Roman"/>
          <w:sz w:val="24"/>
        </w:rPr>
        <w:t xml:space="preserve"> reduces SIRT1 expression, increases P53 acetylation, and inhibits the IGF1/PI3K/AKT </w:t>
      </w:r>
      <w:r w:rsidRPr="006F2325">
        <w:rPr>
          <w:rFonts w:ascii="Times New Roman" w:eastAsia="等线" w:hAnsi="Times New Roman" w:cs="Times New Roman"/>
          <w:color w:val="000000" w:themeColor="text1"/>
          <w:sz w:val="24"/>
          <w:u w:color="FFFFFF" w:themeColor="background1"/>
        </w:rPr>
        <w:t>cascade</w:t>
      </w:r>
      <w:r w:rsidRPr="006F2325">
        <w:rPr>
          <w:rFonts w:ascii="Times New Roman" w:eastAsia="等线" w:hAnsi="Times New Roman" w:cs="Times New Roman"/>
          <w:sz w:val="24"/>
        </w:rPr>
        <w:t xml:space="preserve"> in CECs, which may cause delayed healing of the CE </w:t>
      </w:r>
      <w:r w:rsidRPr="006F2325">
        <w:rPr>
          <w:rFonts w:ascii="Times New Roman" w:eastAsia="等线" w:hAnsi="Times New Roman" w:cs="Times New Roman"/>
          <w:i/>
          <w:sz w:val="24"/>
        </w:rPr>
        <w:t>in vivo</w:t>
      </w:r>
      <w:r w:rsidRPr="006F2325">
        <w:rPr>
          <w:rFonts w:ascii="Times New Roman" w:eastAsia="等线" w:hAnsi="Times New Roman" w:cs="Times New Roman"/>
          <w:sz w:val="24"/>
        </w:rPr>
        <w:t xml:space="preserve"> and</w:t>
      </w:r>
      <w:r w:rsidRPr="006F2325">
        <w:rPr>
          <w:rFonts w:ascii="Times New Roman" w:eastAsia="等线" w:hAnsi="Times New Roman" w:cs="Times New Roman"/>
          <w:i/>
          <w:sz w:val="24"/>
        </w:rPr>
        <w:t xml:space="preserve"> 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[76, 77]</w:t>
      </w:r>
      <w:r w:rsidRPr="006F2325">
        <w:rPr>
          <w:rFonts w:ascii="Times New Roman" w:eastAsia="等线" w:hAnsi="Times New Roman" w:cs="Times New Roman"/>
          <w:sz w:val="24"/>
        </w:rPr>
        <w:t xml:space="preserve">. </w:t>
      </w:r>
    </w:p>
    <w:p w14:paraId="18D72356"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Antioxidant therapy, which induces the clearance of excess ROS and activates the AKT pathway, is an effective drug treatment strategy for DK. For example, N-acetylcysteine reactivates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by inhibiting excess ROS production and restoring CEC migration and healing of the diabetic human and pig CE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and </w:t>
      </w:r>
      <w:r w:rsidRPr="006F2325">
        <w:rPr>
          <w:rFonts w:ascii="Times New Roman" w:eastAsia="等线" w:hAnsi="Times New Roman" w:cs="Times New Roman"/>
          <w:i/>
          <w:sz w:val="24"/>
        </w:rPr>
        <w:t>ex vivo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[60]</w:t>
      </w:r>
      <w:r w:rsidRPr="006F2325">
        <w:rPr>
          <w:rFonts w:ascii="Times New Roman" w:eastAsia="等线" w:hAnsi="Times New Roman" w:cs="Times New Roman"/>
          <w:sz w:val="24"/>
        </w:rPr>
        <w:t xml:space="preserve">. </w:t>
      </w:r>
      <w:r w:rsidRPr="00EA298C">
        <w:rPr>
          <w:rFonts w:ascii="Times New Roman" w:eastAsia="等线" w:hAnsi="Times New Roman" w:cs="Times New Roman"/>
          <w:sz w:val="24"/>
          <w:highlight w:val="yellow"/>
        </w:rPr>
        <w:t>Similarly,</w:t>
      </w:r>
      <w:r w:rsidRPr="006F2325">
        <w:rPr>
          <w:rFonts w:ascii="Times New Roman" w:eastAsia="等线" w:hAnsi="Times New Roman" w:cs="Times New Roman"/>
          <w:sz w:val="24"/>
        </w:rPr>
        <w:t xml:space="preserve"> exogenous NAD</w:t>
      </w:r>
      <w:r w:rsidRPr="006F2325">
        <w:rPr>
          <w:rFonts w:ascii="Times New Roman" w:eastAsia="等线" w:hAnsi="Times New Roman" w:cs="Times New Roman"/>
          <w:sz w:val="24"/>
          <w:vertAlign w:val="superscript"/>
        </w:rPr>
        <w:t>+</w:t>
      </w:r>
      <w:r w:rsidRPr="006F2325">
        <w:rPr>
          <w:rFonts w:ascii="Times New Roman" w:eastAsia="等线" w:hAnsi="Times New Roman" w:cs="Times New Roman"/>
          <w:sz w:val="24"/>
        </w:rPr>
        <w:t xml:space="preserve"> and its precursors nicotinamide mononucleotide and nicotinamide riboside attenuate ROS accumulation, restore the mitochondrial membrane potential and facilitate the healing of the CE and regeneration of corneal nerves </w:t>
      </w:r>
      <w:r w:rsidRPr="006F2325">
        <w:rPr>
          <w:rFonts w:ascii="Times New Roman" w:eastAsia="等线" w:hAnsi="Times New Roman" w:cs="Times New Roman"/>
          <w:noProof/>
          <w:sz w:val="24"/>
        </w:rPr>
        <w:t>[77]</w:t>
      </w:r>
      <w:r w:rsidRPr="006F2325">
        <w:rPr>
          <w:rFonts w:ascii="Times New Roman" w:eastAsia="等线" w:hAnsi="Times New Roman" w:cs="Times New Roman"/>
          <w:sz w:val="24"/>
        </w:rPr>
        <w:t xml:space="preserve">. </w:t>
      </w:r>
      <w:r w:rsidRPr="00EA298C">
        <w:rPr>
          <w:rFonts w:ascii="Times New Roman" w:eastAsia="等线" w:hAnsi="Times New Roman" w:cs="Times New Roman"/>
          <w:sz w:val="24"/>
          <w:highlight w:val="yellow"/>
        </w:rPr>
        <w:t>Moreover,</w:t>
      </w:r>
      <w:r w:rsidRPr="006F2325">
        <w:rPr>
          <w:rFonts w:ascii="Times New Roman" w:eastAsia="等线" w:hAnsi="Times New Roman" w:cs="Times New Roman"/>
          <w:sz w:val="24"/>
        </w:rPr>
        <w:t xml:space="preserve"> NK-1 repairs mitochondrial damage and clears accumulated ROS, thus improving diabetic CE wound healing and corneal sensation </w:t>
      </w:r>
      <w:r w:rsidRPr="006F2325">
        <w:rPr>
          <w:rFonts w:ascii="Times New Roman" w:eastAsia="等线" w:hAnsi="Times New Roman" w:cs="Times New Roman"/>
          <w:noProof/>
          <w:sz w:val="24"/>
        </w:rPr>
        <w:t>[45, 78, 79]</w:t>
      </w:r>
      <w:r w:rsidRPr="006F2325">
        <w:rPr>
          <w:rFonts w:ascii="Times New Roman" w:eastAsia="等线" w:hAnsi="Times New Roman" w:cs="Times New Roman"/>
          <w:sz w:val="24"/>
        </w:rPr>
        <w:t xml:space="preserve">. </w:t>
      </w:r>
    </w:p>
    <w:p w14:paraId="10734AA6" w14:textId="77777777" w:rsidR="002C20A4" w:rsidRPr="006F2325" w:rsidRDefault="002C20A4" w:rsidP="006F2325">
      <w:pPr>
        <w:spacing w:line="480" w:lineRule="auto"/>
        <w:rPr>
          <w:rFonts w:ascii="Times New Roman" w:eastAsia="等线" w:hAnsi="Times New Roman" w:cs="Times New Roman"/>
          <w:b/>
          <w:sz w:val="24"/>
        </w:rPr>
      </w:pPr>
      <w:r w:rsidRPr="006F2325">
        <w:rPr>
          <w:rFonts w:ascii="Times New Roman" w:eastAsia="等线" w:hAnsi="Times New Roman" w:cs="Times New Roman"/>
          <w:b/>
          <w:sz w:val="24"/>
        </w:rPr>
        <w:t>5.1.2</w:t>
      </w:r>
      <w:r w:rsidRPr="006F2325">
        <w:rPr>
          <w:rFonts w:ascii="Times New Roman" w:eastAsia="等线" w:hAnsi="Times New Roman" w:cs="Times New Roman"/>
          <w:b/>
          <w:sz w:val="28"/>
        </w:rPr>
        <w:tab/>
      </w:r>
      <w:r w:rsidRPr="006F2325">
        <w:rPr>
          <w:rFonts w:ascii="Times New Roman" w:eastAsia="等线" w:hAnsi="Times New Roman" w:cs="Times New Roman"/>
          <w:b/>
          <w:color w:val="000000" w:themeColor="text1"/>
          <w:sz w:val="24"/>
          <w:u w:color="FFFFFF" w:themeColor="background1"/>
        </w:rPr>
        <w:t>Hyperglycaemia</w:t>
      </w:r>
      <w:r w:rsidRPr="006F2325">
        <w:rPr>
          <w:rFonts w:ascii="Times New Roman" w:eastAsia="等线" w:hAnsi="Times New Roman" w:cs="Times New Roman"/>
          <w:b/>
          <w:sz w:val="24"/>
        </w:rPr>
        <w:t>-induced</w:t>
      </w:r>
      <w:r w:rsidRPr="006F2325">
        <w:rPr>
          <w:rFonts w:ascii="Times New Roman" w:eastAsia="等线" w:hAnsi="Times New Roman" w:cs="Times New Roman"/>
          <w:b/>
          <w:sz w:val="28"/>
        </w:rPr>
        <w:t xml:space="preserve"> </w:t>
      </w:r>
      <w:r w:rsidRPr="006F2325">
        <w:rPr>
          <w:rFonts w:ascii="Times New Roman" w:eastAsia="等线" w:hAnsi="Times New Roman" w:cs="Times New Roman"/>
          <w:b/>
          <w:sz w:val="24"/>
        </w:rPr>
        <w:t>ER stress suppresses AKT to inhibit wound healing.</w:t>
      </w:r>
    </w:p>
    <w:p w14:paraId="320382D2"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ER stress inhibits the </w:t>
      </w:r>
      <w:r w:rsidRPr="00EA298C">
        <w:rPr>
          <w:rFonts w:ascii="Times New Roman" w:eastAsia="等线" w:hAnsi="Times New Roman" w:cs="Times New Roman"/>
          <w:sz w:val="24"/>
          <w:highlight w:val="yellow"/>
        </w:rPr>
        <w:t>PI3K/AKT</w:t>
      </w:r>
      <w:r w:rsidRPr="006F2325">
        <w:rPr>
          <w:rFonts w:ascii="Times New Roman" w:eastAsia="等线" w:hAnsi="Times New Roman" w:cs="Times New Roman"/>
          <w:sz w:val="24"/>
        </w:rPr>
        <w:t xml:space="preserve">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and causes apoptosis and inflammation </w:t>
      </w:r>
      <w:r w:rsidRPr="006F2325">
        <w:rPr>
          <w:rFonts w:ascii="Times New Roman" w:eastAsia="等线" w:hAnsi="Times New Roman" w:cs="Times New Roman"/>
          <w:noProof/>
          <w:sz w:val="24"/>
        </w:rPr>
        <w:t>[80]</w:t>
      </w:r>
      <w:r w:rsidRPr="006F2325">
        <w:rPr>
          <w:rFonts w:ascii="Times New Roman" w:eastAsia="等线" w:hAnsi="Times New Roman" w:cs="Times New Roman"/>
          <w:sz w:val="24"/>
        </w:rPr>
        <w:t xml:space="preserve">. In individuals with DK, an imbalance in ROS levels causes ER stress </w:t>
      </w:r>
      <w:r w:rsidRPr="006F2325">
        <w:rPr>
          <w:rFonts w:ascii="Times New Roman" w:eastAsia="等线" w:hAnsi="Times New Roman" w:cs="Times New Roman"/>
          <w:noProof/>
          <w:sz w:val="24"/>
        </w:rPr>
        <w:t>[81, 82]</w:t>
      </w:r>
      <w:r w:rsidRPr="006F2325">
        <w:rPr>
          <w:rFonts w:ascii="Times New Roman" w:eastAsia="等线" w:hAnsi="Times New Roman" w:cs="Times New Roman"/>
          <w:sz w:val="24"/>
        </w:rPr>
        <w:t xml:space="preserve">. A study examining diabetic rabbit CECs found that </w:t>
      </w:r>
      <w:r w:rsidRPr="006F2325">
        <w:rPr>
          <w:rFonts w:ascii="Times New Roman" w:eastAsia="等线" w:hAnsi="Times New Roman" w:cs="Times New Roman"/>
          <w:color w:val="000000" w:themeColor="text1"/>
          <w:sz w:val="24"/>
          <w:u w:color="FFFFFF" w:themeColor="background1"/>
        </w:rPr>
        <w:t>hyperglycaemia</w:t>
      </w:r>
      <w:r w:rsidRPr="006F2325">
        <w:rPr>
          <w:rFonts w:ascii="Times New Roman" w:eastAsia="等线" w:hAnsi="Times New Roman" w:cs="Times New Roman"/>
          <w:sz w:val="24"/>
        </w:rPr>
        <w:t xml:space="preserve"> induces the expression of protein kinase RNA-like ER kinase and C/EBP-homologous protein, inducing ER stress and subsequently inhibiting the 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in activate apoptosis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[74]</w:t>
      </w:r>
      <w:r w:rsidRPr="006F2325">
        <w:rPr>
          <w:rFonts w:ascii="Times New Roman" w:eastAsia="等线" w:hAnsi="Times New Roman" w:cs="Times New Roman"/>
          <w:sz w:val="24"/>
        </w:rPr>
        <w:t>.</w:t>
      </w:r>
      <w:r w:rsidRPr="006F2325">
        <w:rPr>
          <w:rFonts w:ascii="Times New Roman" w:eastAsia="等线" w:hAnsi="Times New Roman" w:cs="Times New Roman"/>
          <w:color w:val="FF0000"/>
          <w:sz w:val="24"/>
        </w:rPr>
        <w:t xml:space="preserve"> </w:t>
      </w:r>
    </w:p>
    <w:p w14:paraId="4BBE74D3"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lastRenderedPageBreak/>
        <w:t xml:space="preserve">Interestingly, inhibition of ER stress activates the AKT pathway and promotes </w:t>
      </w:r>
      <w:r w:rsidRPr="00EA298C">
        <w:rPr>
          <w:rFonts w:ascii="Times New Roman" w:eastAsia="等线" w:hAnsi="Times New Roman" w:cs="Times New Roman"/>
          <w:sz w:val="24"/>
          <w:highlight w:val="yellow"/>
        </w:rPr>
        <w:t>healing of the CE. As</w:t>
      </w:r>
      <w:r w:rsidRPr="006F2325">
        <w:rPr>
          <w:rFonts w:ascii="Times New Roman" w:eastAsia="等线" w:hAnsi="Times New Roman" w:cs="Times New Roman"/>
          <w:sz w:val="24"/>
        </w:rPr>
        <w:t xml:space="preserve"> neuroprotective factors, most mesencephalic astrocyte-derived neurotrophic factors are retained in the ER and play an important role in maintaining ER stability </w:t>
      </w:r>
      <w:r w:rsidRPr="006F2325">
        <w:rPr>
          <w:rFonts w:ascii="Times New Roman" w:eastAsia="等线" w:hAnsi="Times New Roman" w:cs="Times New Roman"/>
          <w:noProof/>
          <w:sz w:val="24"/>
        </w:rPr>
        <w:t>[83, 84]</w:t>
      </w:r>
      <w:r w:rsidRPr="006F2325">
        <w:rPr>
          <w:rFonts w:ascii="Times New Roman" w:eastAsia="等线" w:hAnsi="Times New Roman" w:cs="Times New Roman"/>
          <w:sz w:val="24"/>
        </w:rPr>
        <w:t xml:space="preserve">. Moreover, mesencephalic astrocyte-derived neurotrophic factors inhibit </w:t>
      </w:r>
      <w:r w:rsidRPr="006F2325">
        <w:rPr>
          <w:rFonts w:ascii="Times New Roman" w:eastAsia="等线" w:hAnsi="Times New Roman" w:cs="Times New Roman"/>
          <w:color w:val="000000" w:themeColor="text1"/>
          <w:sz w:val="24"/>
        </w:rPr>
        <w:t>hyperglycaemia</w:t>
      </w:r>
      <w:r w:rsidRPr="006F2325">
        <w:rPr>
          <w:rFonts w:ascii="Times New Roman" w:eastAsia="等线" w:hAnsi="Times New Roman" w:cs="Times New Roman"/>
          <w:sz w:val="24"/>
        </w:rPr>
        <w:t>-induced ER stress</w:t>
      </w:r>
      <w:r w:rsidRPr="00EA298C">
        <w:rPr>
          <w:rFonts w:ascii="Times New Roman" w:eastAsia="等线" w:hAnsi="Times New Roman" w:cs="Times New Roman"/>
          <w:sz w:val="24"/>
          <w:highlight w:val="yellow"/>
        </w:rPr>
        <w:t>, which</w:t>
      </w:r>
      <w:r w:rsidRPr="006F2325">
        <w:rPr>
          <w:rFonts w:ascii="Times New Roman" w:eastAsia="等线" w:hAnsi="Times New Roman" w:cs="Times New Roman"/>
          <w:sz w:val="24"/>
        </w:rPr>
        <w:t xml:space="preserve"> promotes</w:t>
      </w:r>
      <w:r>
        <w:rPr>
          <w:rFonts w:ascii="Times New Roman" w:eastAsia="等线" w:hAnsi="Times New Roman" w:cs="Times New Roman"/>
          <w:sz w:val="24"/>
        </w:rPr>
        <w:t xml:space="preserve"> wound</w:t>
      </w:r>
      <w:r w:rsidRPr="00EA298C">
        <w:rPr>
          <w:rFonts w:ascii="Times New Roman" w:eastAsia="等线" w:hAnsi="Times New Roman" w:cs="Times New Roman"/>
          <w:sz w:val="24"/>
        </w:rPr>
        <w:t xml:space="preserve"> </w:t>
      </w:r>
      <w:r w:rsidRPr="006F2325">
        <w:rPr>
          <w:rFonts w:ascii="Times New Roman" w:eastAsia="等线" w:hAnsi="Times New Roman" w:cs="Times New Roman"/>
          <w:sz w:val="24"/>
        </w:rPr>
        <w:t>healing</w:t>
      </w:r>
      <w:r w:rsidRPr="00EA298C">
        <w:rPr>
          <w:rFonts w:ascii="Times New Roman" w:eastAsia="等线" w:hAnsi="Times New Roman" w:cs="Times New Roman"/>
          <w:sz w:val="24"/>
        </w:rPr>
        <w:t xml:space="preserve"> </w:t>
      </w:r>
      <w:r w:rsidRPr="006F2325">
        <w:rPr>
          <w:rFonts w:ascii="Times New Roman" w:eastAsia="等线" w:hAnsi="Times New Roman" w:cs="Times New Roman"/>
          <w:sz w:val="24"/>
        </w:rPr>
        <w:t xml:space="preserve">and nerve regeneration in the CE under normal and diabetic conditions through AKT activation </w:t>
      </w:r>
      <w:r w:rsidRPr="006F2325">
        <w:rPr>
          <w:rFonts w:ascii="Times New Roman" w:eastAsia="等线" w:hAnsi="Times New Roman" w:cs="Times New Roman"/>
          <w:noProof/>
          <w:sz w:val="24"/>
        </w:rPr>
        <w:t>[85]</w:t>
      </w:r>
      <w:r w:rsidRPr="006F2325">
        <w:rPr>
          <w:rFonts w:ascii="Times New Roman" w:eastAsia="等线" w:hAnsi="Times New Roman" w:cs="Times New Roman"/>
          <w:sz w:val="24"/>
        </w:rPr>
        <w:t>.</w:t>
      </w:r>
    </w:p>
    <w:p w14:paraId="6494A7E1" w14:textId="77777777" w:rsidR="002C20A4" w:rsidRPr="006F2325" w:rsidRDefault="002C20A4" w:rsidP="006F2325">
      <w:pPr>
        <w:spacing w:line="480" w:lineRule="auto"/>
        <w:rPr>
          <w:rFonts w:ascii="Times New Roman" w:eastAsia="等线" w:hAnsi="Times New Roman" w:cs="Times New Roman"/>
          <w:sz w:val="28"/>
        </w:rPr>
      </w:pPr>
      <w:r w:rsidRPr="006F2325">
        <w:rPr>
          <w:rFonts w:ascii="Times New Roman" w:eastAsia="等线" w:hAnsi="Times New Roman" w:cs="Times New Roman"/>
          <w:b/>
          <w:sz w:val="24"/>
        </w:rPr>
        <w:t xml:space="preserve">5.1.3 </w:t>
      </w:r>
      <w:r w:rsidRPr="006F2325">
        <w:rPr>
          <w:rFonts w:ascii="Times New Roman" w:eastAsia="等线" w:hAnsi="Times New Roman" w:cs="Times New Roman"/>
          <w:b/>
          <w:color w:val="000000" w:themeColor="text1"/>
          <w:sz w:val="24"/>
          <w:u w:color="FFFFFF" w:themeColor="background1"/>
        </w:rPr>
        <w:t>Hyperglycaemia</w:t>
      </w:r>
      <w:r w:rsidRPr="006F2325">
        <w:rPr>
          <w:rFonts w:ascii="Times New Roman" w:eastAsia="等线" w:hAnsi="Times New Roman" w:cs="Times New Roman"/>
          <w:b/>
          <w:sz w:val="24"/>
        </w:rPr>
        <w:t xml:space="preserve">-induced inactivation of growth factor receptors inhibits PI3K/AKT </w:t>
      </w:r>
      <w:r w:rsidRPr="006F2325">
        <w:rPr>
          <w:rFonts w:ascii="Times New Roman" w:eastAsia="等线" w:hAnsi="Times New Roman" w:cs="Times New Roman"/>
          <w:b/>
          <w:color w:val="000000" w:themeColor="text1"/>
          <w:sz w:val="24"/>
          <w:u w:color="FFFFFF" w:themeColor="background1"/>
        </w:rPr>
        <w:t>signalling</w:t>
      </w:r>
      <w:r w:rsidRPr="006F2325">
        <w:rPr>
          <w:rFonts w:ascii="Times New Roman" w:eastAsia="等线" w:hAnsi="Times New Roman" w:cs="Times New Roman"/>
          <w:b/>
          <w:sz w:val="24"/>
        </w:rPr>
        <w:t>, increases apoptosis, and delays wound healing</w:t>
      </w:r>
    </w:p>
    <w:p w14:paraId="35F94BCA"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color w:val="000000" w:themeColor="text1"/>
          <w:sz w:val="24"/>
          <w:u w:color="FFFFFF" w:themeColor="background1"/>
        </w:rPr>
        <w:t>Hyperglycaemia</w:t>
      </w:r>
      <w:r w:rsidRPr="006F2325">
        <w:rPr>
          <w:rFonts w:ascii="Times New Roman" w:eastAsia="等线" w:hAnsi="Times New Roman" w:cs="Times New Roman"/>
          <w:sz w:val="24"/>
        </w:rPr>
        <w:t xml:space="preserve"> inhibits the expression of growth factor receptors in CECs. In the context of diabetes, the expression of the c-met (also called HGF receptor), which may directly inhibit HGF/c-met/PI3K/AKT </w:t>
      </w:r>
      <w:r w:rsidRPr="006F2325">
        <w:rPr>
          <w:rFonts w:ascii="Times New Roman" w:eastAsia="等线" w:hAnsi="Times New Roman" w:cs="Times New Roman"/>
          <w:color w:val="000000" w:themeColor="text1"/>
          <w:sz w:val="24"/>
          <w:u w:color="FFFFFF" w:themeColor="background1"/>
        </w:rPr>
        <w:t xml:space="preserve">signalling, is decreased in CECs </w:t>
      </w:r>
      <w:r w:rsidRPr="006F2325">
        <w:rPr>
          <w:rFonts w:ascii="Times New Roman" w:eastAsia="等线" w:hAnsi="Times New Roman" w:cs="Times New Roman"/>
          <w:i/>
          <w:color w:val="000000" w:themeColor="text1"/>
          <w:sz w:val="24"/>
          <w:u w:color="FFFFFF" w:themeColor="background1"/>
        </w:rPr>
        <w:t>in vitro</w:t>
      </w:r>
      <w:r w:rsidRPr="006F2325">
        <w:rPr>
          <w:rFonts w:ascii="Times New Roman" w:eastAsia="等线" w:hAnsi="Times New Roman" w:cs="Times New Roman"/>
          <w:color w:val="000000" w:themeColor="text1"/>
          <w:sz w:val="24"/>
          <w:u w:color="FFFFFF" w:themeColor="background1"/>
        </w:rPr>
        <w:t xml:space="preserve"> </w:t>
      </w:r>
      <w:r w:rsidRPr="006F2325">
        <w:rPr>
          <w:rFonts w:ascii="Times New Roman" w:eastAsia="等线" w:hAnsi="Times New Roman" w:cs="Times New Roman"/>
          <w:noProof/>
          <w:sz w:val="24"/>
        </w:rPr>
        <w:t>[86]</w:t>
      </w:r>
      <w:r w:rsidRPr="006F2325">
        <w:rPr>
          <w:rFonts w:ascii="Times New Roman" w:eastAsia="等线" w:hAnsi="Times New Roman" w:cs="Times New Roman"/>
          <w:sz w:val="24"/>
        </w:rPr>
        <w:t xml:space="preserve">. The expression and phosphorylation/activity of c-met are restored by recombinant adenovirus-driven c-met overexpression, which normalizes wound healing and the expression of diabetes markers in diabetic hCECs </w:t>
      </w:r>
      <w:r w:rsidRPr="006F2325">
        <w:rPr>
          <w:rFonts w:ascii="Times New Roman" w:eastAsia="等线" w:hAnsi="Times New Roman" w:cs="Times New Roman"/>
          <w:noProof/>
          <w:sz w:val="24"/>
        </w:rPr>
        <w:t>[86]</w:t>
      </w:r>
      <w:r w:rsidRPr="006F2325">
        <w:rPr>
          <w:rFonts w:ascii="Times New Roman" w:eastAsia="等线" w:hAnsi="Times New Roman" w:cs="Times New Roman"/>
          <w:sz w:val="24"/>
        </w:rPr>
        <w:t xml:space="preserve">. This effect may be explained by the interactions between the HGF/c-met system and other growth factors </w:t>
      </w:r>
      <w:r w:rsidRPr="00EA298C">
        <w:rPr>
          <w:rFonts w:ascii="Times New Roman" w:eastAsia="等线" w:hAnsi="Times New Roman" w:cs="Times New Roman"/>
          <w:sz w:val="24"/>
          <w:highlight w:val="yellow"/>
        </w:rPr>
        <w:t>including</w:t>
      </w:r>
      <w:r w:rsidRPr="006F2325">
        <w:rPr>
          <w:rFonts w:ascii="Times New Roman" w:eastAsia="等线" w:hAnsi="Times New Roman" w:cs="Times New Roman"/>
          <w:sz w:val="24"/>
        </w:rPr>
        <w:t xml:space="preserve"> IGF and EGF </w:t>
      </w:r>
      <w:r w:rsidRPr="006F2325">
        <w:rPr>
          <w:rFonts w:ascii="Times New Roman" w:eastAsia="等线" w:hAnsi="Times New Roman" w:cs="Times New Roman"/>
          <w:noProof/>
          <w:sz w:val="24"/>
        </w:rPr>
        <w:t>[87, 88]</w:t>
      </w:r>
      <w:r w:rsidRPr="006F2325">
        <w:rPr>
          <w:rFonts w:ascii="Times New Roman" w:eastAsia="等线" w:hAnsi="Times New Roman" w:cs="Times New Roman"/>
          <w:sz w:val="24"/>
        </w:rPr>
        <w:t>.</w:t>
      </w:r>
    </w:p>
    <w:p w14:paraId="37DD512F"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Inactivation of the EGFR/PI3K/AKT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leads to the overexpression of MMP-10 and cathepsin F. MMP-10 and cathepsin F then delay wound healing </w:t>
      </w:r>
      <w:r w:rsidRPr="006F2325">
        <w:rPr>
          <w:rFonts w:ascii="Times New Roman" w:eastAsia="等线" w:hAnsi="Times New Roman" w:cs="Times New Roman"/>
          <w:noProof/>
          <w:sz w:val="24"/>
        </w:rPr>
        <w:t>[89-91]</w:t>
      </w:r>
      <w:r w:rsidRPr="006F2325">
        <w:rPr>
          <w:rFonts w:ascii="Times New Roman" w:eastAsia="等线" w:hAnsi="Times New Roman" w:cs="Times New Roman"/>
          <w:sz w:val="24"/>
        </w:rPr>
        <w:t xml:space="preserve">. Therefore, silencing of MMP-10 and cathepsin F in the diabetic cornea represents a potential therapeutic strategy to promote healing of the human CE </w:t>
      </w:r>
      <w:r w:rsidRPr="006F2325">
        <w:rPr>
          <w:rFonts w:ascii="Times New Roman" w:eastAsia="等线" w:hAnsi="Times New Roman" w:cs="Times New Roman"/>
          <w:i/>
          <w:sz w:val="24"/>
        </w:rPr>
        <w:t>ex vivo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[89]</w:t>
      </w:r>
      <w:r w:rsidRPr="006F2325">
        <w:rPr>
          <w:rFonts w:ascii="Times New Roman" w:eastAsia="等线" w:hAnsi="Times New Roman" w:cs="Times New Roman"/>
          <w:sz w:val="24"/>
        </w:rPr>
        <w:t xml:space="preserve">. In addition, upon activation by the PI3K/AKT cascade, MMP-9 promotes the migration </w:t>
      </w:r>
      <w:r w:rsidRPr="006F2325">
        <w:rPr>
          <w:rFonts w:ascii="Times New Roman" w:eastAsia="等线" w:hAnsi="Times New Roman" w:cs="Times New Roman"/>
          <w:sz w:val="24"/>
        </w:rPr>
        <w:lastRenderedPageBreak/>
        <w:t xml:space="preserve">of human corneal limbal epithelial cells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and this process has the potential to accelerate healing of the CE </w:t>
      </w:r>
      <w:r w:rsidRPr="006F2325">
        <w:rPr>
          <w:rFonts w:ascii="Times New Roman" w:eastAsia="等线" w:hAnsi="Times New Roman" w:cs="Times New Roman"/>
          <w:noProof/>
          <w:sz w:val="24"/>
        </w:rPr>
        <w:t>[92]</w:t>
      </w:r>
      <w:r w:rsidRPr="006F2325">
        <w:rPr>
          <w:rFonts w:ascii="Times New Roman" w:eastAsia="等线" w:hAnsi="Times New Roman" w:cs="Times New Roman"/>
          <w:sz w:val="24"/>
        </w:rPr>
        <w:t>.</w:t>
      </w:r>
      <w:r w:rsidRPr="006F2325">
        <w:rPr>
          <w:rFonts w:ascii="Times New Roman" w:eastAsia="等线" w:hAnsi="Times New Roman" w:cs="Times New Roman" w:hint="eastAsia"/>
          <w:sz w:val="24"/>
        </w:rPr>
        <w:t xml:space="preserve"> </w:t>
      </w:r>
      <w:bookmarkStart w:id="36" w:name="_Hlk102594200"/>
      <w:r w:rsidRPr="006F2325">
        <w:rPr>
          <w:rFonts w:ascii="Times New Roman" w:eastAsia="等线" w:hAnsi="Times New Roman" w:cs="Times New Roman"/>
          <w:sz w:val="24"/>
        </w:rPr>
        <w:t>Moreover, h</w:t>
      </w:r>
      <w:r w:rsidRPr="006F2325">
        <w:rPr>
          <w:rFonts w:ascii="Times New Roman" w:eastAsia="等线" w:hAnsi="Times New Roman" w:cs="Times New Roman"/>
          <w:color w:val="000000" w:themeColor="text1"/>
          <w:sz w:val="24"/>
          <w:u w:color="FFFFFF" w:themeColor="background1"/>
        </w:rPr>
        <w:t>yperglycaemia</w:t>
      </w:r>
      <w:bookmarkEnd w:id="36"/>
      <w:r w:rsidRPr="006F2325">
        <w:rPr>
          <w:rFonts w:ascii="Times New Roman" w:eastAsia="等线" w:hAnsi="Times New Roman" w:cs="Times New Roman"/>
          <w:sz w:val="24"/>
        </w:rPr>
        <w:t xml:space="preserve"> suppresses the expression of the antimicrobial peptide LL-37, which interacts with G protein-coupled receptors and transactivates EGFR, thus enhancing healing of the CE </w:t>
      </w:r>
      <w:r w:rsidRPr="006F2325">
        <w:rPr>
          <w:rFonts w:ascii="Times New Roman" w:eastAsia="等线" w:hAnsi="Times New Roman" w:cs="Times New Roman"/>
          <w:noProof/>
          <w:sz w:val="24"/>
        </w:rPr>
        <w:t>[93, 94]</w:t>
      </w:r>
      <w:r w:rsidRPr="006F2325">
        <w:rPr>
          <w:rFonts w:ascii="Times New Roman" w:eastAsia="等线" w:hAnsi="Times New Roman" w:cs="Times New Roman"/>
          <w:sz w:val="24"/>
        </w:rPr>
        <w:t xml:space="preserve">. </w:t>
      </w:r>
    </w:p>
    <w:p w14:paraId="408058E2"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Clinically, growth factors, NK-1, and MMPs have been widely used to treat DK. We discussed that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is a target pathway related to DK, indicating that other drugs that reactivate PI3K/AKT </w:t>
      </w:r>
      <w:r w:rsidRPr="006F2325">
        <w:rPr>
          <w:rFonts w:ascii="Times New Roman" w:eastAsia="等线" w:hAnsi="Times New Roman" w:cs="Times New Roman"/>
          <w:color w:val="000000" w:themeColor="text1"/>
          <w:sz w:val="24"/>
          <w:u w:color="FFFFFF" w:themeColor="background1"/>
        </w:rPr>
        <w:t>signalling can be developed to treat DK</w:t>
      </w:r>
      <w:r w:rsidRPr="006F2325">
        <w:rPr>
          <w:rFonts w:ascii="Times New Roman" w:eastAsia="等线" w:hAnsi="Times New Roman" w:cs="Times New Roman"/>
          <w:sz w:val="24"/>
        </w:rPr>
        <w:t>.</w:t>
      </w:r>
    </w:p>
    <w:p w14:paraId="16DEA3A8" w14:textId="77777777" w:rsidR="002C20A4" w:rsidRPr="006F2325" w:rsidRDefault="002C20A4" w:rsidP="006F2325">
      <w:pPr>
        <w:spacing w:line="480" w:lineRule="auto"/>
        <w:rPr>
          <w:rFonts w:ascii="Times New Roman" w:eastAsia="等线" w:hAnsi="Times New Roman" w:cs="Times New Roman"/>
          <w:b/>
          <w:sz w:val="24"/>
        </w:rPr>
      </w:pPr>
      <w:r w:rsidRPr="006F2325">
        <w:rPr>
          <w:rFonts w:ascii="Times New Roman" w:eastAsia="等线" w:hAnsi="Times New Roman" w:cs="Times New Roman"/>
          <w:b/>
          <w:sz w:val="24"/>
        </w:rPr>
        <w:t>5.2 DED and hyperosmolarity inhibit PI3K/AKT signalling to induce inflammation and apoptosis</w:t>
      </w:r>
    </w:p>
    <w:p w14:paraId="7639176E" w14:textId="77777777" w:rsidR="002C20A4" w:rsidRPr="006F2325" w:rsidRDefault="002C20A4" w:rsidP="006F2325">
      <w:pPr>
        <w:spacing w:line="480" w:lineRule="auto"/>
        <w:ind w:firstLine="240"/>
        <w:rPr>
          <w:rFonts w:ascii="Times New Roman" w:eastAsia="等线" w:hAnsi="Times New Roman" w:cs="Times New Roman"/>
          <w:sz w:val="24"/>
        </w:rPr>
      </w:pPr>
      <w:r w:rsidRPr="006F2325">
        <w:rPr>
          <w:rFonts w:ascii="Times New Roman" w:eastAsia="等线" w:hAnsi="Times New Roman" w:cs="Times New Roman"/>
          <w:sz w:val="24"/>
        </w:rPr>
        <w:t>DED-induced tear film hyperosmolarity inhibits the PI3K/AKT signalling, which is partially responsible for</w:t>
      </w:r>
      <w:r w:rsidRPr="006F2325">
        <w:rPr>
          <w:rFonts w:ascii="Times New Roman" w:hAnsi="Times New Roman" w:cs="Times New Roman"/>
        </w:rPr>
        <w:t xml:space="preserve"> </w:t>
      </w:r>
      <w:r w:rsidRPr="006F2325">
        <w:rPr>
          <w:rFonts w:ascii="Times New Roman" w:eastAsia="等线" w:hAnsi="Times New Roman" w:cs="Times New Roman"/>
          <w:sz w:val="24"/>
        </w:rPr>
        <w:t xml:space="preserve">the occurrence and progression of inflammation, autophagy, and apoptosis in CECs </w:t>
      </w:r>
      <w:r w:rsidRPr="006F2325">
        <w:rPr>
          <w:rFonts w:ascii="Times New Roman" w:eastAsia="等线" w:hAnsi="Times New Roman" w:cs="Times New Roman"/>
          <w:noProof/>
          <w:sz w:val="24"/>
        </w:rPr>
        <w:t>[95]</w:t>
      </w:r>
      <w:r w:rsidRPr="006F2325">
        <w:rPr>
          <w:rFonts w:ascii="Times New Roman" w:eastAsia="等线" w:hAnsi="Times New Roman" w:cs="Times New Roman"/>
          <w:sz w:val="24"/>
        </w:rPr>
        <w:t xml:space="preserve">. </w:t>
      </w:r>
    </w:p>
    <w:p w14:paraId="0744C808"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Hyperosmolarity may increase the expression of high-mobility group box 1 (HMGB1), tumour necrosis factor α (TNF-α), and IL-1β in a dose-dependent manner by inhibiting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in CECs </w:t>
      </w:r>
      <w:r w:rsidRPr="006F2325">
        <w:rPr>
          <w:rFonts w:ascii="Times New Roman" w:eastAsia="等线" w:hAnsi="Times New Roman" w:cs="Times New Roman"/>
          <w:i/>
          <w:sz w:val="24"/>
        </w:rPr>
        <w:t>in vivo</w:t>
      </w:r>
      <w:r w:rsidRPr="006F2325">
        <w:rPr>
          <w:rFonts w:ascii="Times New Roman" w:eastAsia="等线" w:hAnsi="Times New Roman" w:cs="Times New Roman"/>
          <w:sz w:val="24"/>
        </w:rPr>
        <w:t xml:space="preserve"> and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[96]</w:t>
      </w:r>
      <w:r w:rsidRPr="006F2325">
        <w:rPr>
          <w:rFonts w:ascii="Times New Roman" w:eastAsia="等线" w:hAnsi="Times New Roman" w:cs="Times New Roman"/>
          <w:sz w:val="24"/>
        </w:rPr>
        <w:t xml:space="preserve">. </w:t>
      </w:r>
      <w:r w:rsidRPr="00EA298C">
        <w:rPr>
          <w:rFonts w:ascii="Times New Roman" w:eastAsia="等线" w:hAnsi="Times New Roman" w:cs="Times New Roman"/>
          <w:sz w:val="24"/>
          <w:highlight w:val="yellow"/>
        </w:rPr>
        <w:t>Actually,</w:t>
      </w:r>
      <w:r w:rsidRPr="006F2325">
        <w:rPr>
          <w:rFonts w:ascii="Times New Roman" w:eastAsia="等线" w:hAnsi="Times New Roman" w:cs="Times New Roman"/>
          <w:sz w:val="24"/>
        </w:rPr>
        <w:t xml:space="preserve"> HMGB1 causes a vicious proinflammatory cycle, maintains immune responses, and participates in tissue damage </w:t>
      </w:r>
      <w:r w:rsidRPr="006F2325">
        <w:rPr>
          <w:rFonts w:ascii="Times New Roman" w:eastAsia="等线" w:hAnsi="Times New Roman" w:cs="Times New Roman"/>
          <w:noProof/>
          <w:sz w:val="24"/>
        </w:rPr>
        <w:t>[97]</w:t>
      </w:r>
      <w:r w:rsidRPr="006F2325">
        <w:rPr>
          <w:rFonts w:ascii="Times New Roman" w:eastAsia="等线" w:hAnsi="Times New Roman" w:cs="Times New Roman"/>
          <w:sz w:val="24"/>
        </w:rPr>
        <w:t xml:space="preserve">. </w:t>
      </w:r>
    </w:p>
    <w:p w14:paraId="74BA9220"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Therefore, reactivation of PI3K/AKT </w:t>
      </w:r>
      <w:r w:rsidRPr="006F2325">
        <w:rPr>
          <w:rFonts w:ascii="Times New Roman" w:eastAsia="等线" w:hAnsi="Times New Roman" w:cs="Times New Roman"/>
          <w:color w:val="000000" w:themeColor="text1"/>
          <w:sz w:val="24"/>
          <w:u w:color="FFFFFF" w:themeColor="background1"/>
        </w:rPr>
        <w:t xml:space="preserve">signalling </w:t>
      </w:r>
      <w:r w:rsidRPr="006F2325">
        <w:rPr>
          <w:rFonts w:ascii="Times New Roman" w:eastAsia="等线" w:hAnsi="Times New Roman" w:cs="Times New Roman"/>
          <w:sz w:val="24"/>
        </w:rPr>
        <w:t xml:space="preserve">may be an effective treatment for DED. As a type of carotene, astaxanthin restores the activity of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to promote HMGB1 expression and inflammation </w:t>
      </w:r>
      <w:r w:rsidRPr="006F2325">
        <w:rPr>
          <w:rFonts w:ascii="Times New Roman" w:eastAsia="等线" w:hAnsi="Times New Roman" w:cs="Times New Roman"/>
          <w:noProof/>
          <w:sz w:val="24"/>
        </w:rPr>
        <w:t>[96]</w:t>
      </w:r>
      <w:r w:rsidRPr="006F2325">
        <w:rPr>
          <w:rFonts w:ascii="Times New Roman" w:eastAsia="等线" w:hAnsi="Times New Roman" w:cs="Times New Roman"/>
          <w:sz w:val="24"/>
        </w:rPr>
        <w:t xml:space="preserve">. In addition, an immunodepressant, cyclosporine A (CsA), inhibits the expression of TNF-α, </w:t>
      </w:r>
      <w:r w:rsidRPr="006F2325">
        <w:rPr>
          <w:rFonts w:ascii="Times New Roman" w:eastAsia="等线" w:hAnsi="Times New Roman" w:cs="Times New Roman"/>
          <w:sz w:val="24"/>
          <w:szCs w:val="24"/>
        </w:rPr>
        <w:t>Bcl-2-associated X</w:t>
      </w:r>
      <w:r w:rsidRPr="006F2325">
        <w:rPr>
          <w:rFonts w:ascii="Times New Roman" w:eastAsia="等线" w:hAnsi="Times New Roman" w:cs="Times New Roman"/>
          <w:sz w:val="24"/>
        </w:rPr>
        <w:t xml:space="preserve">, and Bcl-2 and reduces apoptosis and inflammation by reactivating the </w:t>
      </w:r>
      <w:r w:rsidRPr="006F2325">
        <w:rPr>
          <w:rFonts w:ascii="Times New Roman" w:eastAsia="等线" w:hAnsi="Times New Roman" w:cs="Times New Roman"/>
          <w:sz w:val="24"/>
        </w:rPr>
        <w:lastRenderedPageBreak/>
        <w:t xml:space="preserve">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in CECs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[98, 99]</w:t>
      </w:r>
      <w:r w:rsidRPr="006F2325">
        <w:rPr>
          <w:rFonts w:ascii="Times New Roman" w:eastAsia="等线" w:hAnsi="Times New Roman" w:cs="Times New Roman"/>
          <w:sz w:val="24"/>
        </w:rPr>
        <w:t xml:space="preserve">. A previous study reported that CsA upregulates TGF-β1 expression </w:t>
      </w:r>
      <w:r w:rsidRPr="006F2325">
        <w:rPr>
          <w:rFonts w:ascii="Times New Roman" w:eastAsia="等线" w:hAnsi="Times New Roman" w:cs="Times New Roman"/>
          <w:i/>
          <w:sz w:val="24"/>
        </w:rPr>
        <w:t>in vivo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[100]</w:t>
      </w:r>
      <w:r w:rsidRPr="006F2325">
        <w:rPr>
          <w:rFonts w:ascii="Times New Roman" w:eastAsia="等线" w:hAnsi="Times New Roman" w:cs="Times New Roman"/>
          <w:sz w:val="24"/>
        </w:rPr>
        <w:t>. Further studies are required to investigate the aforementioned paradox.</w:t>
      </w:r>
    </w:p>
    <w:p w14:paraId="3484D0CF" w14:textId="77777777" w:rsidR="002C20A4" w:rsidRPr="006F2325" w:rsidRDefault="002C20A4" w:rsidP="006F2325">
      <w:pPr>
        <w:spacing w:line="480" w:lineRule="auto"/>
        <w:ind w:firstLine="240"/>
        <w:rPr>
          <w:rFonts w:ascii="Times New Roman" w:eastAsia="等线" w:hAnsi="Times New Roman" w:cs="Times New Roman"/>
          <w:sz w:val="24"/>
        </w:rPr>
      </w:pPr>
      <w:r w:rsidRPr="006F2325">
        <w:rPr>
          <w:rFonts w:ascii="Times New Roman" w:eastAsia="等线" w:hAnsi="Times New Roman" w:cs="Times New Roman"/>
          <w:sz w:val="24"/>
        </w:rPr>
        <w:t xml:space="preserve">Furthermore, in an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CEC model of DED, the transcription factor EB activates autophagy, and</w:t>
      </w:r>
      <w:r w:rsidRPr="006F2325">
        <w:rPr>
          <w:rFonts w:ascii="Times New Roman" w:hAnsi="Times New Roman" w:cs="Times New Roman"/>
        </w:rPr>
        <w:t xml:space="preserve"> </w:t>
      </w:r>
      <w:r w:rsidRPr="006F2325">
        <w:rPr>
          <w:rFonts w:ascii="Times New Roman" w:eastAsia="等线" w:hAnsi="Times New Roman" w:cs="Times New Roman"/>
          <w:sz w:val="24"/>
        </w:rPr>
        <w:t xml:space="preserve">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inhibits transcription factor EB activity to exert an anti-autophagy effect </w:t>
      </w:r>
      <w:r w:rsidRPr="006F2325">
        <w:rPr>
          <w:rFonts w:ascii="Times New Roman" w:eastAsia="等线" w:hAnsi="Times New Roman" w:cs="Times New Roman"/>
          <w:noProof/>
          <w:sz w:val="24"/>
        </w:rPr>
        <w:t>[73]</w:t>
      </w:r>
      <w:r w:rsidRPr="006F2325">
        <w:rPr>
          <w:rFonts w:ascii="Times New Roman" w:eastAsia="等线" w:hAnsi="Times New Roman" w:cs="Times New Roman"/>
          <w:sz w:val="24"/>
        </w:rPr>
        <w:t xml:space="preserve">. However, a disaccharide, trehalose may inhibit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and increase the function of the transcription factor EB, thus increasing autophagy in CECs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[73, 101]</w:t>
      </w:r>
      <w:r w:rsidRPr="006F2325">
        <w:rPr>
          <w:rFonts w:ascii="Times New Roman" w:eastAsia="等线" w:hAnsi="Times New Roman" w:cs="Times New Roman"/>
          <w:sz w:val="24"/>
        </w:rPr>
        <w:t xml:space="preserve">. Autophagy maintains a good balance of CEC inflammation by recycling macromolecules and thus restoring internal environmental balance </w:t>
      </w:r>
      <w:r w:rsidRPr="006F2325">
        <w:rPr>
          <w:rFonts w:ascii="Times New Roman" w:eastAsia="等线" w:hAnsi="Times New Roman" w:cs="Times New Roman"/>
          <w:noProof/>
          <w:sz w:val="24"/>
        </w:rPr>
        <w:t>[102, 103]</w:t>
      </w:r>
      <w:r w:rsidRPr="006F2325">
        <w:rPr>
          <w:rFonts w:ascii="Times New Roman" w:eastAsia="等线" w:hAnsi="Times New Roman" w:cs="Times New Roman"/>
          <w:sz w:val="24"/>
        </w:rPr>
        <w:t>.</w:t>
      </w:r>
    </w:p>
    <w:p w14:paraId="664B605A" w14:textId="77777777" w:rsidR="002C20A4" w:rsidRPr="006F2325" w:rsidRDefault="002C20A4" w:rsidP="006F2325">
      <w:pPr>
        <w:spacing w:line="480" w:lineRule="auto"/>
        <w:rPr>
          <w:rFonts w:ascii="Times New Roman" w:eastAsia="等线" w:hAnsi="Times New Roman" w:cs="Times New Roman"/>
          <w:sz w:val="24"/>
        </w:rPr>
      </w:pPr>
      <w:r w:rsidRPr="006F2325">
        <w:rPr>
          <w:rFonts w:ascii="Times New Roman" w:eastAsia="等线" w:hAnsi="Times New Roman" w:cs="Times New Roman"/>
          <w:sz w:val="24"/>
        </w:rPr>
        <w:t xml:space="preserve">  In summary, CsA</w:t>
      </w:r>
      <w:r w:rsidRPr="00EA298C">
        <w:rPr>
          <w:rFonts w:ascii="Times New Roman" w:eastAsia="等线" w:hAnsi="Times New Roman" w:cs="Times New Roman"/>
          <w:sz w:val="24"/>
          <w:highlight w:val="yellow"/>
        </w:rPr>
        <w:t>, astaxanthin</w:t>
      </w:r>
      <w:r>
        <w:rPr>
          <w:rFonts w:ascii="Times New Roman" w:eastAsia="等线" w:hAnsi="Times New Roman" w:cs="Times New Roman"/>
          <w:sz w:val="24"/>
          <w:highlight w:val="yellow"/>
        </w:rPr>
        <w:t>,</w:t>
      </w:r>
      <w:r w:rsidRPr="00EA298C">
        <w:rPr>
          <w:rFonts w:ascii="Times New Roman" w:eastAsia="等线" w:hAnsi="Times New Roman" w:cs="Times New Roman"/>
          <w:sz w:val="24"/>
          <w:highlight w:val="yellow"/>
        </w:rPr>
        <w:t xml:space="preserve"> and trehalose</w:t>
      </w:r>
      <w:r w:rsidRPr="006F2325">
        <w:rPr>
          <w:rFonts w:ascii="Times New Roman" w:eastAsia="等线" w:hAnsi="Times New Roman" w:cs="Times New Roman"/>
          <w:sz w:val="24"/>
        </w:rPr>
        <w:t xml:space="preserve"> inhibit inflammation, apoptosis</w:t>
      </w:r>
      <w:r>
        <w:rPr>
          <w:rFonts w:ascii="Times New Roman" w:eastAsia="等线" w:hAnsi="Times New Roman" w:cs="Times New Roman"/>
          <w:sz w:val="24"/>
        </w:rPr>
        <w:t>,</w:t>
      </w:r>
      <w:r w:rsidRPr="006F2325">
        <w:rPr>
          <w:rFonts w:ascii="Times New Roman" w:eastAsia="等线" w:hAnsi="Times New Roman" w:cs="Times New Roman"/>
          <w:sz w:val="24"/>
        </w:rPr>
        <w:t xml:space="preserve"> and/or autophagy in DED models by restoring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activity. Clinically, we propose that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may </w:t>
      </w:r>
      <w:r w:rsidRPr="00EA298C">
        <w:rPr>
          <w:rFonts w:ascii="Times New Roman" w:eastAsia="等线" w:hAnsi="Times New Roman" w:cs="Times New Roman"/>
          <w:sz w:val="24"/>
          <w:highlight w:val="yellow"/>
        </w:rPr>
        <w:t xml:space="preserve">be </w:t>
      </w:r>
      <w:r>
        <w:rPr>
          <w:rFonts w:ascii="Times New Roman" w:eastAsia="等线" w:hAnsi="Times New Roman" w:cs="Times New Roman"/>
          <w:sz w:val="24"/>
          <w:highlight w:val="yellow"/>
        </w:rPr>
        <w:t>a crucial</w:t>
      </w:r>
      <w:r w:rsidRPr="00EA298C">
        <w:rPr>
          <w:rFonts w:ascii="Times New Roman" w:eastAsia="等线" w:hAnsi="Times New Roman" w:cs="Times New Roman"/>
          <w:sz w:val="24"/>
          <w:highlight w:val="yellow"/>
        </w:rPr>
        <w:t xml:space="preserve"> target</w:t>
      </w:r>
      <w:r w:rsidRPr="006F2325">
        <w:rPr>
          <w:rFonts w:ascii="Times New Roman" w:eastAsia="等线" w:hAnsi="Times New Roman" w:cs="Times New Roman"/>
          <w:sz w:val="24"/>
        </w:rPr>
        <w:t xml:space="preserve"> for DED treatment. </w:t>
      </w:r>
    </w:p>
    <w:p w14:paraId="74BC3DA6" w14:textId="77777777" w:rsidR="002C20A4" w:rsidRPr="006F2325" w:rsidRDefault="002C20A4" w:rsidP="006F2325">
      <w:pPr>
        <w:spacing w:line="480" w:lineRule="auto"/>
        <w:rPr>
          <w:rFonts w:ascii="Times New Roman" w:eastAsia="等线" w:hAnsi="Times New Roman" w:cs="Times New Roman"/>
          <w:b/>
          <w:color w:val="000000"/>
          <w:sz w:val="24"/>
        </w:rPr>
      </w:pPr>
      <w:r w:rsidRPr="006F2325">
        <w:rPr>
          <w:rFonts w:ascii="Times New Roman" w:eastAsia="等线" w:hAnsi="Times New Roman" w:cs="Times New Roman"/>
          <w:b/>
          <w:color w:val="000000"/>
          <w:sz w:val="24"/>
        </w:rPr>
        <w:t>5.3 Keratitis induces inflammation partially through the overactivation of PI3K/AKT signalling</w:t>
      </w:r>
    </w:p>
    <w:p w14:paraId="74960B27"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The PI3K/AKT signalling pathway is a key pathway that mediates keratitis and has potential as a therapeutic target for keratitis.</w:t>
      </w:r>
    </w:p>
    <w:p w14:paraId="3B36CF21" w14:textId="77777777" w:rsidR="002C20A4" w:rsidRPr="006F2325" w:rsidRDefault="002C20A4" w:rsidP="006F2325">
      <w:pPr>
        <w:spacing w:line="480" w:lineRule="auto"/>
        <w:rPr>
          <w:rFonts w:ascii="Times New Roman" w:eastAsia="等线" w:hAnsi="Times New Roman" w:cs="Times New Roman"/>
          <w:b/>
          <w:color w:val="000000"/>
          <w:sz w:val="24"/>
        </w:rPr>
      </w:pPr>
      <w:r w:rsidRPr="006F2325">
        <w:rPr>
          <w:rFonts w:ascii="Times New Roman" w:eastAsia="等线" w:hAnsi="Times New Roman" w:cs="Times New Roman"/>
          <w:b/>
          <w:color w:val="000000"/>
          <w:sz w:val="24"/>
        </w:rPr>
        <w:t>5.3.1 Infectious keratitis</w:t>
      </w:r>
    </w:p>
    <w:p w14:paraId="40B4F77C"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Infectious keratitis is mostly caused by microbial infections, such as bacterial, fungal, and viral infections. Studies have shown an important role the PI3K/AKT signalling pathway plays in the infection of CECs with these pathogens and is a target of many </w:t>
      </w:r>
      <w:r w:rsidRPr="006F2325">
        <w:rPr>
          <w:rFonts w:ascii="Times New Roman" w:eastAsia="等线" w:hAnsi="Times New Roman" w:cs="Times New Roman"/>
          <w:sz w:val="24"/>
        </w:rPr>
        <w:lastRenderedPageBreak/>
        <w:t>drugs.</w:t>
      </w:r>
    </w:p>
    <w:p w14:paraId="7987295C"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Bacterial keratitis accounts for approximately 65–90% of all cases of microbial keratitis </w:t>
      </w:r>
      <w:r w:rsidRPr="006F2325">
        <w:rPr>
          <w:rFonts w:ascii="Times New Roman" w:eastAsia="等线" w:hAnsi="Times New Roman" w:cs="Times New Roman"/>
          <w:noProof/>
          <w:sz w:val="24"/>
        </w:rPr>
        <w:t>[104]</w:t>
      </w:r>
      <w:r w:rsidRPr="006F2325">
        <w:rPr>
          <w:rFonts w:ascii="Times New Roman" w:eastAsia="等线" w:hAnsi="Times New Roman" w:cs="Times New Roman"/>
          <w:sz w:val="24"/>
        </w:rPr>
        <w:t xml:space="preserve">. Bacteria induce inflammation in the CE through bacterial lipopolysaccharide (LPS), which increases HMGA2/PI3K/AKT </w:t>
      </w:r>
      <w:r w:rsidRPr="006F2325">
        <w:rPr>
          <w:rFonts w:ascii="Times New Roman" w:eastAsia="等线" w:hAnsi="Times New Roman" w:cs="Times New Roman"/>
          <w:color w:val="000000" w:themeColor="text1"/>
          <w:sz w:val="24"/>
          <w:u w:color="FFFFFF" w:themeColor="background1"/>
        </w:rPr>
        <w:t xml:space="preserve">signalling </w:t>
      </w:r>
      <w:r w:rsidRPr="006F2325">
        <w:rPr>
          <w:rFonts w:ascii="Times New Roman" w:eastAsia="等线" w:hAnsi="Times New Roman" w:cs="Times New Roman"/>
          <w:i/>
          <w:color w:val="000000" w:themeColor="text1"/>
          <w:sz w:val="24"/>
          <w:u w:color="FFFFFF" w:themeColor="background1"/>
        </w:rPr>
        <w:t>in vitro</w:t>
      </w:r>
      <w:r w:rsidRPr="006F2325">
        <w:rPr>
          <w:rFonts w:ascii="Times New Roman" w:eastAsia="等线" w:hAnsi="Times New Roman" w:cs="Times New Roman"/>
          <w:color w:val="000000" w:themeColor="text1"/>
          <w:sz w:val="24"/>
          <w:u w:color="FFFFFF" w:themeColor="background1"/>
        </w:rPr>
        <w:t xml:space="preserve"> </w:t>
      </w:r>
      <w:r w:rsidRPr="006F2325">
        <w:rPr>
          <w:rFonts w:ascii="Times New Roman" w:eastAsia="等线" w:hAnsi="Times New Roman" w:cs="Times New Roman"/>
          <w:noProof/>
          <w:sz w:val="24"/>
        </w:rPr>
        <w:t>[18]</w:t>
      </w:r>
      <w:r w:rsidRPr="006F2325">
        <w:rPr>
          <w:rFonts w:ascii="Times New Roman" w:eastAsia="等线" w:hAnsi="Times New Roman" w:cs="Times New Roman"/>
          <w:sz w:val="24"/>
        </w:rPr>
        <w:t xml:space="preserve">. Activation of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then supports inflammation and the release of inflammatory cytokines such as TNF-</w:t>
      </w:r>
      <w:r w:rsidRPr="006F2325">
        <w:rPr>
          <w:rFonts w:ascii="Times New Roman" w:eastAsia="等线" w:hAnsi="Times New Roman" w:cs="Times New Roman"/>
          <w:sz w:val="24"/>
          <w:lang w:val="el-GR"/>
        </w:rPr>
        <w:t>α</w:t>
      </w:r>
      <w:r w:rsidRPr="006F2325">
        <w:rPr>
          <w:rFonts w:ascii="Times New Roman" w:eastAsia="等线" w:hAnsi="Times New Roman" w:cs="Times New Roman"/>
          <w:sz w:val="24"/>
        </w:rPr>
        <w:t>, IL-6, and IL-1</w:t>
      </w:r>
      <w:r w:rsidRPr="006F2325">
        <w:rPr>
          <w:rFonts w:ascii="Times New Roman" w:eastAsia="等线" w:hAnsi="Times New Roman" w:cs="Times New Roman"/>
          <w:sz w:val="24"/>
          <w:lang w:val="el-GR"/>
        </w:rPr>
        <w:t xml:space="preserve">β </w:t>
      </w:r>
      <w:r w:rsidRPr="006F2325">
        <w:rPr>
          <w:rFonts w:ascii="Times New Roman" w:eastAsia="等线" w:hAnsi="Times New Roman" w:cs="Times New Roman"/>
          <w:noProof/>
          <w:sz w:val="24"/>
          <w:lang w:val="el-GR"/>
        </w:rPr>
        <w:t>[105]</w:t>
      </w:r>
      <w:r w:rsidRPr="006F2325">
        <w:rPr>
          <w:rFonts w:ascii="Times New Roman" w:eastAsia="等线" w:hAnsi="Times New Roman" w:cs="Times New Roman"/>
          <w:sz w:val="24"/>
        </w:rPr>
        <w:t xml:space="preserve">. Importantly, some potential therapeutic drugs, such as cyanidin-3-O-glucoside (C3G) and asiatic acid, inhibit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to counteract the effects of LPS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[18, 23]</w:t>
      </w:r>
      <w:r w:rsidRPr="006F2325">
        <w:rPr>
          <w:rFonts w:ascii="Times New Roman" w:eastAsia="等线" w:hAnsi="Times New Roman" w:cs="Times New Roman"/>
          <w:sz w:val="24"/>
        </w:rPr>
        <w:t xml:space="preserve">. In addition, bacterial infection may activate EGFR/PI3K/AKT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through the shedding of the HB-EGF extracellular domain, which prevents CEC apoptosis in the early stage of infection </w:t>
      </w:r>
      <w:r w:rsidRPr="006F2325">
        <w:rPr>
          <w:rFonts w:ascii="Times New Roman" w:eastAsia="等线" w:hAnsi="Times New Roman" w:cs="Times New Roman"/>
          <w:i/>
          <w:sz w:val="24"/>
        </w:rPr>
        <w:t xml:space="preserve">in vitro </w:t>
      </w:r>
      <w:r w:rsidRPr="006F2325">
        <w:rPr>
          <w:rFonts w:ascii="Times New Roman" w:eastAsia="等线" w:hAnsi="Times New Roman" w:cs="Times New Roman"/>
          <w:noProof/>
          <w:sz w:val="24"/>
        </w:rPr>
        <w:t>[50]</w:t>
      </w:r>
      <w:r w:rsidRPr="006F2325">
        <w:rPr>
          <w:rFonts w:ascii="Times New Roman" w:eastAsia="等线" w:hAnsi="Times New Roman" w:cs="Times New Roman"/>
          <w:sz w:val="24"/>
        </w:rPr>
        <w:t xml:space="preserve">. </w:t>
      </w:r>
    </w:p>
    <w:p w14:paraId="514A9C0B"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Fungal keratitis is caused by fungal infections, such as </w:t>
      </w:r>
      <w:r w:rsidRPr="006F2325">
        <w:rPr>
          <w:rFonts w:ascii="Times New Roman" w:eastAsia="等线" w:hAnsi="Times New Roman" w:cs="Times New Roman"/>
          <w:b/>
          <w:i/>
          <w:iCs/>
          <w:sz w:val="24"/>
        </w:rPr>
        <w:t xml:space="preserve">Fusarium, Aspergillus, </w:t>
      </w:r>
      <w:r w:rsidRPr="006F2325">
        <w:rPr>
          <w:rFonts w:ascii="Times New Roman" w:eastAsia="等线" w:hAnsi="Times New Roman" w:cs="Times New Roman"/>
          <w:iCs/>
          <w:sz w:val="24"/>
        </w:rPr>
        <w:t>and</w:t>
      </w:r>
      <w:r w:rsidRPr="006F2325">
        <w:rPr>
          <w:rFonts w:ascii="Times New Roman" w:eastAsia="等线" w:hAnsi="Times New Roman" w:cs="Times New Roman"/>
          <w:b/>
          <w:i/>
          <w:iCs/>
          <w:sz w:val="24"/>
        </w:rPr>
        <w:t xml:space="preserve"> Candida</w:t>
      </w:r>
      <w:r w:rsidRPr="006F2325">
        <w:rPr>
          <w:rFonts w:ascii="Times New Roman" w:eastAsia="等线" w:hAnsi="Times New Roman" w:cs="Times New Roman"/>
          <w:sz w:val="24"/>
        </w:rPr>
        <w:t xml:space="preserve">. </w:t>
      </w:r>
      <w:r w:rsidRPr="00EA298C">
        <w:rPr>
          <w:rFonts w:ascii="Times New Roman" w:eastAsia="等线" w:hAnsi="Times New Roman" w:cs="Times New Roman"/>
          <w:sz w:val="24"/>
        </w:rPr>
        <w:t>Previous studies have shown that</w:t>
      </w:r>
      <w:r w:rsidRPr="006F2325">
        <w:rPr>
          <w:rFonts w:ascii="Times New Roman" w:eastAsia="等线" w:hAnsi="Times New Roman" w:cs="Times New Roman"/>
          <w:sz w:val="24"/>
        </w:rPr>
        <w:t xml:space="preserve"> extracellular polysaccharide EPS-II partially inhibits the adherence of </w:t>
      </w:r>
      <w:r w:rsidRPr="006F2325">
        <w:rPr>
          <w:rFonts w:ascii="Times New Roman" w:eastAsia="等线" w:hAnsi="Times New Roman" w:cs="Times New Roman"/>
          <w:b/>
          <w:i/>
          <w:iCs/>
          <w:sz w:val="24"/>
        </w:rPr>
        <w:t>Candida albicans</w:t>
      </w:r>
      <w:r w:rsidRPr="006F2325">
        <w:rPr>
          <w:rFonts w:ascii="Times New Roman" w:eastAsia="等线" w:hAnsi="Times New Roman" w:cs="Times New Roman"/>
          <w:sz w:val="24"/>
        </w:rPr>
        <w:t xml:space="preserve"> to CECs, partially suppresses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color w:val="000000"/>
          <w:sz w:val="24"/>
        </w:rPr>
        <w:t xml:space="preserve">, and </w:t>
      </w:r>
      <w:r w:rsidRPr="006F2325">
        <w:rPr>
          <w:rFonts w:ascii="Times New Roman" w:eastAsia="等线" w:hAnsi="Times New Roman" w:cs="Times New Roman"/>
          <w:sz w:val="24"/>
        </w:rPr>
        <w:t xml:space="preserve">decreases levels of inflammatory proteins (IL-6 and MMP-14) in fungal keratitis </w:t>
      </w:r>
      <w:r w:rsidRPr="006F2325">
        <w:rPr>
          <w:rFonts w:ascii="Times New Roman" w:eastAsia="等线" w:hAnsi="Times New Roman" w:cs="Times New Roman"/>
          <w:noProof/>
          <w:color w:val="000000"/>
          <w:sz w:val="24"/>
        </w:rPr>
        <w:t>[106, 107]</w:t>
      </w:r>
      <w:r w:rsidRPr="006F2325">
        <w:rPr>
          <w:rFonts w:ascii="Times New Roman" w:eastAsia="等线" w:hAnsi="Times New Roman" w:cs="Times New Roman"/>
          <w:color w:val="000000"/>
          <w:sz w:val="24"/>
        </w:rPr>
        <w:t xml:space="preserve">. EPS-II, which competitively inhibits the adherence of </w:t>
      </w:r>
      <w:r w:rsidRPr="006F2325">
        <w:rPr>
          <w:rFonts w:ascii="Times New Roman" w:eastAsia="等线" w:hAnsi="Times New Roman" w:cs="Times New Roman"/>
          <w:b/>
          <w:i/>
          <w:iCs/>
          <w:sz w:val="24"/>
        </w:rPr>
        <w:t>C. albicans</w:t>
      </w:r>
      <w:r w:rsidRPr="006F2325">
        <w:rPr>
          <w:rFonts w:ascii="Times New Roman" w:eastAsia="等线" w:hAnsi="Times New Roman" w:cs="Times New Roman"/>
          <w:color w:val="000000"/>
          <w:sz w:val="24"/>
        </w:rPr>
        <w:t xml:space="preserve"> to hCECs and may activate cellular responses by binding with receptors, contains ligands similar to </w:t>
      </w:r>
      <w:r w:rsidRPr="006F2325">
        <w:rPr>
          <w:rFonts w:ascii="Times New Roman" w:eastAsia="等线" w:hAnsi="Times New Roman" w:cs="Times New Roman"/>
          <w:b/>
          <w:i/>
          <w:color w:val="000000"/>
          <w:sz w:val="24"/>
        </w:rPr>
        <w:t xml:space="preserve">C. albicans </w:t>
      </w:r>
      <w:r w:rsidRPr="006F2325">
        <w:rPr>
          <w:rFonts w:ascii="Times New Roman" w:eastAsia="等线" w:hAnsi="Times New Roman" w:cs="Times New Roman"/>
          <w:i/>
          <w:color w:val="000000"/>
          <w:sz w:val="24"/>
        </w:rPr>
        <w:t>in vitro</w:t>
      </w:r>
      <w:r w:rsidRPr="006F2325">
        <w:rPr>
          <w:rFonts w:ascii="Times New Roman" w:eastAsia="等线" w:hAnsi="Times New Roman" w:cs="Times New Roman"/>
          <w:color w:val="000000"/>
          <w:sz w:val="24"/>
        </w:rPr>
        <w:t xml:space="preserve"> </w:t>
      </w:r>
      <w:r w:rsidRPr="006F2325">
        <w:rPr>
          <w:rFonts w:ascii="Times New Roman" w:eastAsia="等线" w:hAnsi="Times New Roman" w:cs="Times New Roman"/>
          <w:noProof/>
          <w:color w:val="000000"/>
          <w:sz w:val="24"/>
        </w:rPr>
        <w:t>[106]</w:t>
      </w:r>
      <w:r w:rsidRPr="006F2325">
        <w:rPr>
          <w:rFonts w:ascii="Times New Roman" w:eastAsia="等线" w:hAnsi="Times New Roman" w:cs="Times New Roman"/>
          <w:color w:val="000000"/>
          <w:sz w:val="24"/>
        </w:rPr>
        <w:t>.</w:t>
      </w:r>
    </w:p>
    <w:p w14:paraId="365121F2"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Viral keratitis often causes infectious blindness, and herpes simplex virus type 1 (HSV-1) is one of the most common human pathogens </w:t>
      </w:r>
      <w:r w:rsidRPr="006F2325">
        <w:rPr>
          <w:rFonts w:ascii="Times New Roman" w:eastAsia="等线" w:hAnsi="Times New Roman" w:cs="Times New Roman"/>
          <w:noProof/>
          <w:sz w:val="24"/>
        </w:rPr>
        <w:t>[108]</w:t>
      </w:r>
      <w:r w:rsidRPr="006F2325">
        <w:rPr>
          <w:rFonts w:ascii="Times New Roman" w:eastAsia="等线" w:hAnsi="Times New Roman" w:cs="Times New Roman"/>
          <w:sz w:val="24"/>
        </w:rPr>
        <w:t xml:space="preserve">. Most of the current drugs used to treat HSV are nucleoside analogues, which have a high incidence of side effects and target DNA replication. Fortunately, recent studies have identified several </w:t>
      </w:r>
      <w:r w:rsidRPr="006F2325">
        <w:rPr>
          <w:rFonts w:ascii="Times New Roman" w:eastAsia="等线" w:hAnsi="Times New Roman" w:cs="Times New Roman"/>
          <w:sz w:val="24"/>
        </w:rPr>
        <w:lastRenderedPageBreak/>
        <w:t xml:space="preserve">promising and safer drugs that target the AKT signalling pathway to inhibit HSV infection in the cornea, including the natural secondary metabolite prodigiosin (PD), which is produced by </w:t>
      </w:r>
      <w:r w:rsidRPr="006F2325">
        <w:rPr>
          <w:rFonts w:ascii="Times New Roman" w:eastAsia="等线" w:hAnsi="Times New Roman" w:cs="Times New Roman"/>
          <w:b/>
          <w:i/>
          <w:iCs/>
          <w:sz w:val="24"/>
        </w:rPr>
        <w:t>Serratia marcescens</w:t>
      </w:r>
      <w:r w:rsidRPr="006F2325">
        <w:rPr>
          <w:rFonts w:ascii="Times New Roman" w:eastAsia="等线" w:hAnsi="Times New Roman" w:cs="Times New Roman"/>
          <w:sz w:val="24"/>
        </w:rPr>
        <w:t xml:space="preserve">, and a selective 3-phosphoinositide-dependent kinase 1 inhibitor called BX795 </w:t>
      </w:r>
      <w:r w:rsidRPr="006F2325">
        <w:rPr>
          <w:rFonts w:ascii="Times New Roman" w:eastAsia="等线" w:hAnsi="Times New Roman" w:cs="Times New Roman"/>
          <w:noProof/>
          <w:sz w:val="24"/>
        </w:rPr>
        <w:t>[108, 109]</w:t>
      </w:r>
      <w:r w:rsidRPr="006F2325">
        <w:rPr>
          <w:rFonts w:ascii="Times New Roman" w:eastAsia="等线" w:hAnsi="Times New Roman" w:cs="Times New Roman"/>
          <w:sz w:val="24"/>
        </w:rPr>
        <w:t xml:space="preserve">. </w:t>
      </w:r>
      <w:r w:rsidRPr="006F2325">
        <w:rPr>
          <w:rFonts w:ascii="Times New Roman" w:eastAsia="等线" w:hAnsi="Times New Roman" w:cs="Times New Roman" w:hint="eastAsia"/>
          <w:sz w:val="24"/>
        </w:rPr>
        <w:t>And</w:t>
      </w:r>
      <w:r w:rsidRPr="006F2325">
        <w:rPr>
          <w:rFonts w:ascii="Times New Roman" w:eastAsia="等线" w:hAnsi="Times New Roman" w:cs="Times New Roman"/>
          <w:sz w:val="24"/>
        </w:rPr>
        <w:t xml:space="preserve"> the inhibitory effect of PD on HSV-1 </w:t>
      </w:r>
      <w:r w:rsidRPr="006F2325">
        <w:rPr>
          <w:rFonts w:ascii="Times New Roman" w:eastAsia="等线" w:hAnsi="Times New Roman" w:cs="Times New Roman"/>
          <w:i/>
          <w:iCs/>
          <w:sz w:val="24"/>
        </w:rPr>
        <w:t>in vivo</w:t>
      </w:r>
      <w:r w:rsidRPr="006F2325">
        <w:rPr>
          <w:rFonts w:ascii="Times New Roman" w:eastAsia="等线" w:hAnsi="Times New Roman" w:cs="Times New Roman"/>
          <w:sz w:val="24"/>
        </w:rPr>
        <w:t xml:space="preserve">, </w:t>
      </w:r>
      <w:r w:rsidRPr="006F2325">
        <w:rPr>
          <w:rFonts w:ascii="Times New Roman" w:eastAsia="等线" w:hAnsi="Times New Roman" w:cs="Times New Roman"/>
          <w:i/>
          <w:iCs/>
          <w:sz w:val="24"/>
        </w:rPr>
        <w:t>in vitro</w:t>
      </w:r>
      <w:r w:rsidRPr="006F2325">
        <w:rPr>
          <w:rFonts w:ascii="Times New Roman" w:eastAsia="等线" w:hAnsi="Times New Roman" w:cs="Times New Roman"/>
          <w:sz w:val="24"/>
        </w:rPr>
        <w:t xml:space="preserve">, and </w:t>
      </w:r>
      <w:r w:rsidRPr="006F2325">
        <w:rPr>
          <w:rFonts w:ascii="Times New Roman" w:eastAsia="等线" w:hAnsi="Times New Roman" w:cs="Times New Roman"/>
          <w:i/>
          <w:iCs/>
          <w:sz w:val="24"/>
        </w:rPr>
        <w:t>ex vivo</w:t>
      </w:r>
      <w:r w:rsidRPr="006F2325">
        <w:rPr>
          <w:rFonts w:ascii="Times New Roman" w:eastAsia="等线" w:hAnsi="Times New Roman" w:cs="Times New Roman"/>
          <w:sz w:val="24"/>
        </w:rPr>
        <w:t xml:space="preserve">, with positive therapeutic results observed in mouse models. PD treatment may inhibit the phosphorylation of AKT in CECs, preventing it from inactivating GSK3β, blocking apoptosis, promoting protein synthesis, and creating a host environment that facilitates viral replication </w:t>
      </w:r>
      <w:r w:rsidRPr="006F2325">
        <w:rPr>
          <w:rFonts w:ascii="Times New Roman" w:eastAsia="等线" w:hAnsi="Times New Roman" w:cs="Times New Roman"/>
          <w:noProof/>
          <w:sz w:val="24"/>
        </w:rPr>
        <w:t>[109]</w:t>
      </w:r>
      <w:r w:rsidRPr="006F2325">
        <w:rPr>
          <w:rFonts w:ascii="Times New Roman" w:eastAsia="等线" w:hAnsi="Times New Roman" w:cs="Times New Roman"/>
          <w:sz w:val="24"/>
        </w:rPr>
        <w:t xml:space="preserve">. Moreover, BX795 inhibits the PI3K/AKT/mTOR pathway and then blocks the hyperphosphorylation of eukaryotic initiation factor 4E-binding protein 1, which is a member of a family of translation repressor proteins </w:t>
      </w:r>
      <w:r w:rsidRPr="006F2325">
        <w:rPr>
          <w:rFonts w:ascii="Times New Roman" w:eastAsia="等线" w:hAnsi="Times New Roman" w:cs="Times New Roman"/>
          <w:noProof/>
          <w:sz w:val="24"/>
        </w:rPr>
        <w:t>[110, 111]</w:t>
      </w:r>
      <w:r w:rsidRPr="006F2325">
        <w:rPr>
          <w:rFonts w:ascii="Times New Roman" w:eastAsia="等线" w:hAnsi="Times New Roman" w:cs="Times New Roman"/>
          <w:sz w:val="24"/>
        </w:rPr>
        <w:t xml:space="preserve">. Hence, the virus cannot use the protein translation machinery of the host cells </w:t>
      </w:r>
      <w:r w:rsidRPr="006F2325">
        <w:rPr>
          <w:rFonts w:ascii="Times New Roman" w:eastAsia="等线" w:hAnsi="Times New Roman" w:cs="Times New Roman"/>
          <w:noProof/>
          <w:sz w:val="24"/>
        </w:rPr>
        <w:t>[111]</w:t>
      </w:r>
      <w:r w:rsidRPr="006F2325">
        <w:rPr>
          <w:rFonts w:ascii="Times New Roman" w:eastAsia="等线" w:hAnsi="Times New Roman" w:cs="Times New Roman"/>
          <w:sz w:val="24"/>
        </w:rPr>
        <w:t xml:space="preserve">. </w:t>
      </w:r>
    </w:p>
    <w:p w14:paraId="6190137C"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In summary, inflammation and virus replication are mediated by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in infectious keratitis. C3G, asiatic acid, EPS-II, PD, BX795, and other drugs reverse overactivation of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to treat infectious keratitis.</w:t>
      </w:r>
    </w:p>
    <w:p w14:paraId="6F485C54" w14:textId="77777777" w:rsidR="002C20A4" w:rsidRPr="006F2325" w:rsidRDefault="002C20A4" w:rsidP="006F2325">
      <w:pPr>
        <w:spacing w:line="480" w:lineRule="auto"/>
        <w:rPr>
          <w:rFonts w:ascii="Times New Roman" w:eastAsia="等线" w:hAnsi="Times New Roman" w:cs="Times New Roman"/>
          <w:b/>
          <w:color w:val="000000"/>
          <w:sz w:val="24"/>
        </w:rPr>
      </w:pPr>
      <w:r w:rsidRPr="006F2325">
        <w:rPr>
          <w:rFonts w:ascii="Times New Roman" w:eastAsia="等线" w:hAnsi="Times New Roman" w:cs="Times New Roman"/>
          <w:b/>
          <w:color w:val="000000"/>
          <w:sz w:val="24"/>
        </w:rPr>
        <w:t>5.3.2 Noninfectious keratitis</w:t>
      </w:r>
    </w:p>
    <w:p w14:paraId="460AEC04"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Noninfectious keratitis is associated with injury and other inflammatory agonists. The </w:t>
      </w:r>
      <w:r w:rsidRPr="006F2325">
        <w:rPr>
          <w:rFonts w:ascii="Times New Roman" w:eastAsia="等线" w:hAnsi="Times New Roman" w:cs="Times New Roman" w:hint="eastAsia"/>
          <w:sz w:val="24"/>
        </w:rPr>
        <w:t>PI3K/</w:t>
      </w:r>
      <w:r w:rsidRPr="006F2325">
        <w:rPr>
          <w:rFonts w:ascii="Times New Roman" w:eastAsia="等线" w:hAnsi="Times New Roman" w:cs="Times New Roman"/>
          <w:sz w:val="24"/>
        </w:rPr>
        <w:t xml:space="preserve">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is closely related to noninfectious keratitis, but the specific mechanism must be further elucidated. For instance, exposure to nitrogen mustard, a vesicating agent, increases cyclooxygenase 2 </w:t>
      </w:r>
      <w:r w:rsidRPr="00EA298C">
        <w:rPr>
          <w:rFonts w:ascii="Times New Roman" w:eastAsia="等线" w:hAnsi="Times New Roman" w:cs="Times New Roman"/>
          <w:sz w:val="24"/>
          <w:highlight w:val="yellow"/>
        </w:rPr>
        <w:t>(a</w:t>
      </w:r>
      <w:r w:rsidRPr="00EA298C">
        <w:rPr>
          <w:rFonts w:ascii="Times New Roman" w:eastAsia="等线" w:hAnsi="Times New Roman" w:cs="Times New Roman" w:hint="eastAsia"/>
          <w:sz w:val="24"/>
          <w:highlight w:val="yellow"/>
        </w:rPr>
        <w:t>n</w:t>
      </w:r>
      <w:r w:rsidRPr="00EA298C">
        <w:rPr>
          <w:rFonts w:ascii="Times New Roman" w:eastAsia="等线" w:hAnsi="Times New Roman" w:cs="Times New Roman"/>
          <w:sz w:val="24"/>
          <w:highlight w:val="yellow"/>
        </w:rPr>
        <w:t xml:space="preserve"> inflammation mediator)</w:t>
      </w:r>
      <w:r w:rsidRPr="006F2325">
        <w:rPr>
          <w:rFonts w:ascii="Times New Roman" w:eastAsia="等线" w:hAnsi="Times New Roman" w:cs="Times New Roman"/>
          <w:sz w:val="24"/>
        </w:rPr>
        <w:t>, MMP-9, and vascular endothelial growth factor levels in CECs potentially through the activation of the</w:t>
      </w:r>
      <w:r w:rsidRPr="006F2325">
        <w:rPr>
          <w:rFonts w:ascii="Times New Roman" w:eastAsia="等线" w:hAnsi="Times New Roman" w:cs="Times New Roman"/>
        </w:rPr>
        <w:t xml:space="preserve"> </w:t>
      </w:r>
      <w:r w:rsidRPr="006F2325">
        <w:rPr>
          <w:rFonts w:ascii="Times New Roman" w:eastAsia="等线" w:hAnsi="Times New Roman" w:cs="Times New Roman"/>
          <w:sz w:val="24"/>
        </w:rPr>
        <w:t xml:space="preserve">AKT-activator protein 1 pathway </w:t>
      </w:r>
      <w:r w:rsidRPr="006F2325">
        <w:rPr>
          <w:rFonts w:ascii="Times New Roman" w:eastAsia="等线" w:hAnsi="Times New Roman" w:cs="Times New Roman"/>
          <w:i/>
          <w:sz w:val="24"/>
        </w:rPr>
        <w:t>in vitro</w:t>
      </w:r>
      <w:r w:rsidRPr="006F2325">
        <w:rPr>
          <w:rFonts w:ascii="Times New Roman" w:eastAsia="等线" w:hAnsi="Times New Roman" w:cs="Times New Roman"/>
          <w:sz w:val="24"/>
        </w:rPr>
        <w:t xml:space="preserve"> and </w:t>
      </w:r>
      <w:r w:rsidRPr="006F2325">
        <w:rPr>
          <w:rFonts w:ascii="Times New Roman" w:eastAsia="等线" w:hAnsi="Times New Roman" w:cs="Times New Roman"/>
          <w:i/>
          <w:sz w:val="24"/>
        </w:rPr>
        <w:t>ex vivo</w:t>
      </w:r>
      <w:r w:rsidRPr="006F2325">
        <w:rPr>
          <w:rFonts w:ascii="Times New Roman" w:eastAsia="等线" w:hAnsi="Times New Roman" w:cs="Times New Roman"/>
          <w:sz w:val="24"/>
        </w:rPr>
        <w:t xml:space="preserve"> </w:t>
      </w:r>
      <w:r w:rsidRPr="006F2325">
        <w:rPr>
          <w:rFonts w:ascii="Times New Roman" w:eastAsia="等线" w:hAnsi="Times New Roman" w:cs="Times New Roman"/>
          <w:noProof/>
          <w:sz w:val="24"/>
        </w:rPr>
        <w:t>[112]</w:t>
      </w:r>
      <w:r w:rsidRPr="006F2325">
        <w:rPr>
          <w:rFonts w:ascii="Times New Roman" w:eastAsia="等线" w:hAnsi="Times New Roman" w:cs="Times New Roman"/>
          <w:sz w:val="24"/>
        </w:rPr>
        <w:t xml:space="preserve">. Moreover, </w:t>
      </w:r>
      <w:r w:rsidRPr="006F2325">
        <w:rPr>
          <w:rFonts w:ascii="Times New Roman" w:eastAsia="等线" w:hAnsi="Times New Roman" w:cs="Times New Roman"/>
          <w:sz w:val="24"/>
        </w:rPr>
        <w:lastRenderedPageBreak/>
        <w:t xml:space="preserve">released from injured and inflammatory CECs, lysophosphatidic acid (LPA) induces transactivation of EGFR, and activation of PI3K and mediates inflammation by activating the production of inflammatory mediators, such as LPS, IL-1β, and TNF-α in CECs </w:t>
      </w:r>
      <w:r w:rsidRPr="006F2325">
        <w:rPr>
          <w:rFonts w:ascii="Times New Roman" w:eastAsia="等线" w:hAnsi="Times New Roman" w:cs="Times New Roman"/>
          <w:noProof/>
          <w:sz w:val="24"/>
        </w:rPr>
        <w:t>[113, 114]</w:t>
      </w:r>
      <w:r w:rsidRPr="006F2325">
        <w:rPr>
          <w:rFonts w:ascii="Times New Roman" w:eastAsia="等线" w:hAnsi="Times New Roman" w:cs="Times New Roman"/>
          <w:sz w:val="24"/>
        </w:rPr>
        <w:t>. We speculate that inhibition of the aforementioned inflammatory factors has therapeutic potential.</w:t>
      </w:r>
    </w:p>
    <w:p w14:paraId="2C0D25B4" w14:textId="77777777" w:rsidR="002C20A4" w:rsidRPr="006F2325" w:rsidRDefault="002C20A4" w:rsidP="006F2325">
      <w:pPr>
        <w:spacing w:line="480" w:lineRule="auto"/>
        <w:rPr>
          <w:rFonts w:ascii="Times New Roman" w:eastAsia="等线" w:hAnsi="Times New Roman" w:cs="Times New Roman"/>
          <w:b/>
          <w:sz w:val="32"/>
        </w:rPr>
      </w:pPr>
      <w:r w:rsidRPr="006F2325">
        <w:rPr>
          <w:rFonts w:ascii="Times New Roman" w:eastAsia="等线" w:hAnsi="Times New Roman" w:cs="Times New Roman"/>
          <w:b/>
          <w:sz w:val="32"/>
        </w:rPr>
        <w:t>6. Conclusions and Perspectives</w:t>
      </w:r>
    </w:p>
    <w:p w14:paraId="0F6C327A"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Overall, our review mainly summarizes the role of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in CECs. Growth factors (EGFR ligands, IGF1, etc.), NK-1, and insulin activate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by binding to their receptors, which inhibit apoptosis and inflammation, promote the proliferation and migration of CECs, and accelerate healing of the CE. Extreme environments-induced excess accumulation of ROS inhibits PI3K/AKT </w:t>
      </w:r>
      <w:r w:rsidRPr="006F2325">
        <w:rPr>
          <w:rFonts w:ascii="Times New Roman" w:eastAsia="等线" w:hAnsi="Times New Roman" w:cs="Times New Roman"/>
          <w:color w:val="000000" w:themeColor="text1"/>
          <w:sz w:val="24"/>
          <w:u w:color="FFFFFF" w:themeColor="background1"/>
        </w:rPr>
        <w:t>signaling</w:t>
      </w:r>
      <w:r w:rsidRPr="006F2325">
        <w:rPr>
          <w:rFonts w:ascii="Times New Roman" w:eastAsia="等线" w:hAnsi="Times New Roman" w:cs="Times New Roman"/>
          <w:sz w:val="24"/>
        </w:rPr>
        <w:t>, thus inducing CEC apoptosis and inflammation, but low or moderate levels of ROS activate PI3K/AKT inhibit apoptosis, and promote the healthy CEC migration and proliferation.</w:t>
      </w:r>
    </w:p>
    <w:p w14:paraId="44D91BC1" w14:textId="77777777" w:rsidR="002C20A4" w:rsidRPr="006F2325"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Diabetes-</w:t>
      </w:r>
      <w:r>
        <w:rPr>
          <w:rFonts w:ascii="Times New Roman" w:eastAsia="等线" w:hAnsi="Times New Roman" w:cs="Times New Roman" w:hint="eastAsia"/>
          <w:sz w:val="24"/>
        </w:rPr>
        <w:t>associat</w:t>
      </w:r>
      <w:r w:rsidRPr="006F2325">
        <w:rPr>
          <w:rFonts w:ascii="Times New Roman" w:eastAsia="等线" w:hAnsi="Times New Roman" w:cs="Times New Roman"/>
          <w:sz w:val="24"/>
        </w:rPr>
        <w:t xml:space="preserve">ed </w:t>
      </w:r>
      <w:r w:rsidRPr="006F2325">
        <w:rPr>
          <w:rFonts w:ascii="Times New Roman" w:eastAsia="等线" w:hAnsi="Times New Roman" w:cs="Times New Roman"/>
          <w:color w:val="000000" w:themeColor="text1"/>
          <w:sz w:val="24"/>
          <w:u w:color="FFFFFF" w:themeColor="background1"/>
        </w:rPr>
        <w:t>hyperglycaemia</w:t>
      </w:r>
      <w:r w:rsidRPr="006F2325">
        <w:rPr>
          <w:rFonts w:ascii="Times New Roman" w:eastAsia="等线" w:hAnsi="Times New Roman" w:cs="Times New Roman"/>
          <w:sz w:val="24"/>
        </w:rPr>
        <w:t xml:space="preserve"> directly inhibit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by increasing ROS and ER stress levels or suppressing receptors of growth factors in CECs and partially induce DK. Similarly, in DED,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is suppressed by hyperosmolar conditions and ROS. However, in keratitis, overactivation of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pathway is responsible for inflammation and virus replication in CECs (Figure 4). </w:t>
      </w:r>
    </w:p>
    <w:p w14:paraId="580AA61C" w14:textId="666DC3C2" w:rsidR="002C20A4" w:rsidRDefault="002C20A4" w:rsidP="006F2325">
      <w:pPr>
        <w:spacing w:line="480" w:lineRule="auto"/>
        <w:ind w:firstLineChars="100" w:firstLine="240"/>
        <w:rPr>
          <w:rFonts w:ascii="Times New Roman" w:eastAsia="等线" w:hAnsi="Times New Roman" w:cs="Times New Roman"/>
          <w:sz w:val="24"/>
        </w:rPr>
      </w:pPr>
      <w:r w:rsidRPr="006F2325">
        <w:rPr>
          <w:rFonts w:ascii="Times New Roman" w:eastAsia="等线" w:hAnsi="Times New Roman" w:cs="Times New Roman"/>
          <w:sz w:val="24"/>
        </w:rPr>
        <w:t xml:space="preserve">We realized that a few studies have reported the status of </w:t>
      </w:r>
      <w:r w:rsidRPr="00EA298C">
        <w:rPr>
          <w:rFonts w:ascii="Times New Roman" w:eastAsia="等线" w:hAnsi="Times New Roman" w:cs="Times New Roman"/>
          <w:sz w:val="24"/>
          <w:highlight w:val="yellow"/>
        </w:rPr>
        <w:t>PI3K/AKT signalling</w:t>
      </w:r>
      <w:r w:rsidRPr="006F2325">
        <w:rPr>
          <w:rFonts w:ascii="Times New Roman" w:eastAsia="等线" w:hAnsi="Times New Roman" w:cs="Times New Roman"/>
          <w:sz w:val="24"/>
        </w:rPr>
        <w:t xml:space="preserve"> in different keratitis, but the specific mechanisms are not well known. Furthermore, the </w:t>
      </w:r>
      <w:r w:rsidRPr="006F2325">
        <w:rPr>
          <w:rFonts w:ascii="Times New Roman" w:eastAsia="等线" w:hAnsi="Times New Roman" w:cs="Times New Roman"/>
          <w:sz w:val="24"/>
        </w:rPr>
        <w:lastRenderedPageBreak/>
        <w:t xml:space="preserve">development of more effective drugs that target the PI3K/AKT </w:t>
      </w:r>
      <w:r w:rsidRPr="006F2325">
        <w:rPr>
          <w:rFonts w:ascii="Times New Roman" w:eastAsia="等线" w:hAnsi="Times New Roman" w:cs="Times New Roman"/>
          <w:color w:val="000000" w:themeColor="text1"/>
          <w:sz w:val="24"/>
          <w:u w:color="FFFFFF" w:themeColor="background1"/>
        </w:rPr>
        <w:t>signalling</w:t>
      </w:r>
      <w:r w:rsidRPr="006F2325">
        <w:rPr>
          <w:rFonts w:ascii="Times New Roman" w:eastAsia="等线" w:hAnsi="Times New Roman" w:cs="Times New Roman"/>
          <w:sz w:val="24"/>
        </w:rPr>
        <w:t xml:space="preserve"> to treat related corneal diseases </w:t>
      </w:r>
      <w:r w:rsidRPr="002C20A4">
        <w:rPr>
          <w:rFonts w:ascii="Times New Roman" w:eastAsia="等线" w:hAnsi="Times New Roman" w:cs="Times New Roman"/>
          <w:sz w:val="24"/>
          <w:highlight w:val="yellow"/>
        </w:rPr>
        <w:t>is</w:t>
      </w:r>
      <w:r w:rsidRPr="006F2325">
        <w:rPr>
          <w:rFonts w:ascii="Times New Roman" w:eastAsia="等线" w:hAnsi="Times New Roman" w:cs="Times New Roman"/>
          <w:sz w:val="24"/>
        </w:rPr>
        <w:t xml:space="preserve"> needed.</w:t>
      </w:r>
    </w:p>
    <w:p w14:paraId="1BFBC9FD" w14:textId="77777777" w:rsidR="00FF0142" w:rsidRPr="006F2325" w:rsidRDefault="00FF0142" w:rsidP="006F2325">
      <w:pPr>
        <w:spacing w:line="480" w:lineRule="auto"/>
        <w:ind w:firstLineChars="100" w:firstLine="240"/>
        <w:rPr>
          <w:rFonts w:ascii="Times New Roman" w:eastAsia="等线" w:hAnsi="Times New Roman" w:cs="Times New Roman"/>
          <w:sz w:val="24"/>
        </w:rPr>
      </w:pPr>
    </w:p>
    <w:bookmarkEnd w:id="9"/>
    <w:p w14:paraId="3461033B" w14:textId="77777777" w:rsidR="00C031F8" w:rsidRPr="00C031F8" w:rsidRDefault="00C031F8" w:rsidP="00C031F8">
      <w:pPr>
        <w:spacing w:line="480" w:lineRule="auto"/>
        <w:rPr>
          <w:rFonts w:ascii="Times New Roman" w:hAnsi="Times New Roman" w:cs="Times New Roman"/>
          <w:b/>
          <w:sz w:val="30"/>
          <w:szCs w:val="30"/>
        </w:rPr>
      </w:pPr>
      <w:r w:rsidRPr="00C031F8">
        <w:rPr>
          <w:rFonts w:ascii="Times New Roman" w:hAnsi="Times New Roman" w:cs="Times New Roman"/>
          <w:b/>
          <w:sz w:val="30"/>
          <w:szCs w:val="30"/>
        </w:rPr>
        <w:t>Data Availability</w:t>
      </w:r>
    </w:p>
    <w:p w14:paraId="7BD0E23E" w14:textId="08C5B8D7" w:rsidR="00FF0142" w:rsidRPr="00C031F8" w:rsidRDefault="00C031F8" w:rsidP="00C031F8">
      <w:pPr>
        <w:spacing w:line="480" w:lineRule="auto"/>
        <w:ind w:firstLineChars="100" w:firstLine="240"/>
        <w:rPr>
          <w:rFonts w:ascii="Times New Roman" w:hAnsi="Times New Roman" w:cs="Times New Roman"/>
          <w:sz w:val="24"/>
          <w:szCs w:val="30"/>
        </w:rPr>
      </w:pPr>
      <w:bookmarkStart w:id="37" w:name="_GoBack"/>
      <w:r w:rsidRPr="00C031F8">
        <w:rPr>
          <w:rFonts w:ascii="Times New Roman" w:hAnsi="Times New Roman" w:cs="Times New Roman"/>
          <w:sz w:val="24"/>
          <w:szCs w:val="30"/>
        </w:rPr>
        <w:t>All relevant data are included in this manuscript.</w:t>
      </w:r>
      <w:bookmarkEnd w:id="37"/>
    </w:p>
    <w:p w14:paraId="006C4C92" w14:textId="28DE863F" w:rsidR="009036C3" w:rsidRPr="00F14586" w:rsidRDefault="009036C3" w:rsidP="009036C3">
      <w:pPr>
        <w:spacing w:line="480" w:lineRule="auto"/>
        <w:rPr>
          <w:rFonts w:ascii="Times New Roman" w:hAnsi="Times New Roman" w:cs="Times New Roman"/>
          <w:b/>
          <w:sz w:val="30"/>
          <w:szCs w:val="30"/>
        </w:rPr>
      </w:pPr>
      <w:r w:rsidRPr="00F14586">
        <w:rPr>
          <w:rFonts w:ascii="Times New Roman" w:hAnsi="Times New Roman" w:cs="Times New Roman"/>
          <w:b/>
          <w:sz w:val="30"/>
          <w:szCs w:val="30"/>
        </w:rPr>
        <w:t>A</w:t>
      </w:r>
      <w:r>
        <w:rPr>
          <w:rFonts w:ascii="Times New Roman" w:hAnsi="Times New Roman" w:cs="Times New Roman"/>
          <w:b/>
          <w:sz w:val="30"/>
          <w:szCs w:val="30"/>
        </w:rPr>
        <w:t>cknowledgements</w:t>
      </w:r>
    </w:p>
    <w:p w14:paraId="55C21E62" w14:textId="77777777" w:rsidR="009036C3" w:rsidRPr="00F14586" w:rsidRDefault="009036C3" w:rsidP="009036C3">
      <w:pPr>
        <w:spacing w:line="480" w:lineRule="auto"/>
        <w:ind w:firstLineChars="100" w:firstLine="240"/>
        <w:rPr>
          <w:rFonts w:ascii="Times New Roman" w:hAnsi="Times New Roman" w:cs="Times New Roman"/>
          <w:sz w:val="24"/>
          <w:szCs w:val="30"/>
        </w:rPr>
      </w:pPr>
      <w:r w:rsidRPr="00F14586">
        <w:rPr>
          <w:rFonts w:ascii="Times New Roman" w:hAnsi="Times New Roman" w:cs="Times New Roman"/>
          <w:sz w:val="24"/>
          <w:szCs w:val="30"/>
        </w:rPr>
        <w:t>We would like to thank the authors of the primary studies. We used Adobe Illustrator to create the figures in this article.</w:t>
      </w:r>
    </w:p>
    <w:p w14:paraId="131468ED" w14:textId="77777777" w:rsidR="001514EF" w:rsidRPr="006F2325" w:rsidRDefault="00F14586" w:rsidP="006F2325">
      <w:pPr>
        <w:spacing w:line="480" w:lineRule="auto"/>
        <w:rPr>
          <w:rFonts w:ascii="Times New Roman" w:eastAsia="等线" w:hAnsi="Times New Roman" w:cs="Times New Roman"/>
          <w:b/>
          <w:sz w:val="30"/>
          <w:szCs w:val="30"/>
        </w:rPr>
      </w:pPr>
      <w:r>
        <w:rPr>
          <w:rFonts w:ascii="Times New Roman" w:eastAsia="等线" w:hAnsi="Times New Roman" w:cs="Times New Roman" w:hint="eastAsia"/>
          <w:b/>
          <w:sz w:val="30"/>
          <w:szCs w:val="30"/>
        </w:rPr>
        <w:t>Funding</w:t>
      </w:r>
    </w:p>
    <w:p w14:paraId="110A0A71" w14:textId="77777777" w:rsidR="00F14586" w:rsidRDefault="00F14586" w:rsidP="00F14586">
      <w:pPr>
        <w:spacing w:line="480" w:lineRule="auto"/>
        <w:ind w:firstLineChars="100" w:firstLine="240"/>
        <w:rPr>
          <w:rFonts w:ascii="Times New Roman" w:eastAsia="等线" w:hAnsi="Times New Roman" w:cs="Times New Roman"/>
          <w:sz w:val="24"/>
          <w:szCs w:val="30"/>
        </w:rPr>
      </w:pPr>
      <w:r w:rsidRPr="00F14586">
        <w:rPr>
          <w:rFonts w:ascii="Times New Roman" w:eastAsia="等线" w:hAnsi="Times New Roman" w:cs="Times New Roman"/>
          <w:sz w:val="24"/>
          <w:szCs w:val="30"/>
        </w:rPr>
        <w:t xml:space="preserve">This work </w:t>
      </w:r>
      <w:r>
        <w:rPr>
          <w:rFonts w:ascii="Times New Roman" w:eastAsia="等线" w:hAnsi="Times New Roman" w:cs="Times New Roman"/>
          <w:sz w:val="24"/>
          <w:szCs w:val="30"/>
        </w:rPr>
        <w:t>wa</w:t>
      </w:r>
      <w:r w:rsidRPr="00F14586">
        <w:rPr>
          <w:rFonts w:ascii="Times New Roman" w:eastAsia="等线" w:hAnsi="Times New Roman" w:cs="Times New Roman"/>
          <w:sz w:val="24"/>
          <w:szCs w:val="30"/>
        </w:rPr>
        <w:t>s supported by the Strategic Priority Research Program of Chinese Academy of Sciences (Grant Number XDA16040200), the Natural Science Foundation of Zhejiang Province (Grant Number LZ19H120001), the Major Science and Technology Project of Zhejiang Province (Grant Number 2018C03017).</w:t>
      </w:r>
    </w:p>
    <w:p w14:paraId="493F4952" w14:textId="77777777" w:rsidR="001514EF" w:rsidRPr="006F2325" w:rsidRDefault="001514EF" w:rsidP="006F2325">
      <w:pPr>
        <w:spacing w:line="480" w:lineRule="auto"/>
        <w:rPr>
          <w:rFonts w:ascii="Times New Roman" w:hAnsi="Times New Roman" w:cs="Times New Roman"/>
          <w:b/>
          <w:sz w:val="30"/>
          <w:szCs w:val="30"/>
        </w:rPr>
      </w:pPr>
      <w:r w:rsidRPr="006F2325">
        <w:rPr>
          <w:rFonts w:ascii="Times New Roman" w:hAnsi="Times New Roman" w:cs="Times New Roman"/>
          <w:b/>
          <w:sz w:val="30"/>
          <w:szCs w:val="30"/>
        </w:rPr>
        <w:t>Conflict of Interest</w:t>
      </w:r>
    </w:p>
    <w:p w14:paraId="1BECB871" w14:textId="77777777" w:rsidR="001514EF" w:rsidRPr="006F2325" w:rsidRDefault="001514EF" w:rsidP="006F2325">
      <w:pPr>
        <w:spacing w:after="200" w:line="480" w:lineRule="auto"/>
        <w:ind w:firstLineChars="100" w:firstLine="240"/>
        <w:rPr>
          <w:rFonts w:ascii="Times New Roman" w:eastAsia="等线" w:hAnsi="Times New Roman" w:cs="Times New Roman"/>
          <w:color w:val="000000" w:themeColor="text1"/>
          <w:sz w:val="24"/>
          <w:szCs w:val="24"/>
        </w:rPr>
      </w:pPr>
      <w:r w:rsidRPr="006F2325">
        <w:rPr>
          <w:rFonts w:ascii="Times New Roman" w:eastAsia="等线" w:hAnsi="Times New Roman" w:cs="Times New Roman"/>
          <w:color w:val="000000" w:themeColor="text1"/>
          <w:sz w:val="24"/>
          <w:szCs w:val="24"/>
        </w:rPr>
        <w:t>The authors declare that no conflict of interest could be perceived as prejudicing the impartiality of the review.</w:t>
      </w:r>
    </w:p>
    <w:p w14:paraId="636C7EDF" w14:textId="77777777" w:rsidR="001514EF" w:rsidRPr="006F2325" w:rsidRDefault="001514EF">
      <w:pPr>
        <w:widowControl/>
        <w:spacing w:before="225" w:after="225" w:line="480" w:lineRule="auto"/>
        <w:jc w:val="left"/>
        <w:textAlignment w:val="baseline"/>
        <w:rPr>
          <w:rFonts w:ascii="Times New Roman" w:eastAsia="宋体" w:hAnsi="Times New Roman" w:cs="Times New Roman"/>
          <w:color w:val="000000" w:themeColor="text1"/>
          <w:kern w:val="0"/>
          <w:sz w:val="30"/>
          <w:szCs w:val="30"/>
        </w:rPr>
      </w:pPr>
      <w:r w:rsidRPr="006F2325">
        <w:rPr>
          <w:rFonts w:ascii="Times New Roman" w:eastAsia="宋体" w:hAnsi="Times New Roman" w:cs="Times New Roman"/>
          <w:b/>
          <w:bCs/>
          <w:color w:val="000000" w:themeColor="text1"/>
          <w:kern w:val="0"/>
          <w:sz w:val="30"/>
          <w:szCs w:val="30"/>
        </w:rPr>
        <w:t>Author Contributions</w:t>
      </w:r>
    </w:p>
    <w:p w14:paraId="544C1737" w14:textId="26617161" w:rsidR="001514EF" w:rsidRPr="006F2325" w:rsidRDefault="001514EF">
      <w:pPr>
        <w:widowControl/>
        <w:spacing w:before="225" w:after="225" w:line="480" w:lineRule="auto"/>
        <w:ind w:firstLineChars="100" w:firstLine="240"/>
        <w:jc w:val="left"/>
        <w:textAlignment w:val="baseline"/>
        <w:rPr>
          <w:rFonts w:ascii="Times New Roman" w:eastAsia="宋体" w:hAnsi="Times New Roman" w:cs="Times New Roman"/>
          <w:color w:val="000000" w:themeColor="text1"/>
          <w:kern w:val="0"/>
          <w:sz w:val="24"/>
          <w:szCs w:val="21"/>
        </w:rPr>
      </w:pPr>
      <w:r w:rsidRPr="006F2325">
        <w:rPr>
          <w:rFonts w:ascii="Times New Roman" w:eastAsia="宋体" w:hAnsi="Times New Roman" w:cs="Times New Roman"/>
          <w:color w:val="000000" w:themeColor="text1"/>
          <w:kern w:val="0"/>
          <w:sz w:val="24"/>
          <w:szCs w:val="21"/>
        </w:rPr>
        <w:t>K.-Q.C. and Y.-Q.L. wrote the manuscript, Y.S</w:t>
      </w:r>
      <w:r w:rsidR="00462DA2">
        <w:rPr>
          <w:rFonts w:ascii="Times New Roman" w:eastAsia="宋体" w:hAnsi="Times New Roman" w:cs="Times New Roman" w:hint="eastAsia"/>
          <w:color w:val="000000" w:themeColor="text1"/>
          <w:kern w:val="0"/>
          <w:sz w:val="24"/>
          <w:szCs w:val="21"/>
        </w:rPr>
        <w:t>.</w:t>
      </w:r>
      <w:r w:rsidRPr="006F2325">
        <w:rPr>
          <w:rFonts w:ascii="Times New Roman" w:eastAsia="宋体" w:hAnsi="Times New Roman" w:cs="Times New Roman"/>
          <w:color w:val="000000" w:themeColor="text1"/>
          <w:kern w:val="0"/>
          <w:sz w:val="24"/>
          <w:szCs w:val="21"/>
        </w:rPr>
        <w:t>, T.-J.P. X</w:t>
      </w:r>
      <w:r w:rsidR="00F14586">
        <w:rPr>
          <w:rFonts w:ascii="Times New Roman" w:eastAsia="宋体" w:hAnsi="Times New Roman" w:cs="Times New Roman"/>
          <w:color w:val="000000" w:themeColor="text1"/>
          <w:kern w:val="0"/>
          <w:sz w:val="24"/>
          <w:szCs w:val="21"/>
        </w:rPr>
        <w:t>.</w:t>
      </w:r>
      <w:r w:rsidRPr="006F2325">
        <w:rPr>
          <w:rFonts w:ascii="Times New Roman" w:eastAsia="宋体" w:hAnsi="Times New Roman" w:cs="Times New Roman"/>
          <w:color w:val="000000" w:themeColor="text1"/>
          <w:kern w:val="0"/>
          <w:sz w:val="24"/>
          <w:szCs w:val="21"/>
        </w:rPr>
        <w:t>-H.Z. and U.R. prepared the references and revision of the manuscript.</w:t>
      </w:r>
    </w:p>
    <w:p w14:paraId="06236988" w14:textId="77777777" w:rsidR="001514EF" w:rsidRPr="006F2325" w:rsidRDefault="001514EF" w:rsidP="006F2325">
      <w:pPr>
        <w:widowControl/>
        <w:spacing w:before="225" w:after="225" w:line="480" w:lineRule="auto"/>
        <w:jc w:val="left"/>
        <w:textAlignment w:val="baseline"/>
        <w:rPr>
          <w:rFonts w:ascii="Times New Roman" w:eastAsia="宋体" w:hAnsi="Times New Roman" w:cs="Times New Roman"/>
          <w:b/>
          <w:bCs/>
          <w:color w:val="000000" w:themeColor="text1"/>
          <w:kern w:val="0"/>
          <w:sz w:val="30"/>
          <w:szCs w:val="30"/>
        </w:rPr>
      </w:pPr>
      <w:r w:rsidRPr="006F2325">
        <w:rPr>
          <w:rFonts w:ascii="Times New Roman" w:eastAsia="宋体" w:hAnsi="Times New Roman" w:cs="Times New Roman"/>
          <w:b/>
          <w:bCs/>
          <w:color w:val="000000" w:themeColor="text1"/>
          <w:kern w:val="0"/>
          <w:sz w:val="30"/>
          <w:szCs w:val="30"/>
        </w:rPr>
        <w:t>Ethics Approval and Consent to Participate</w:t>
      </w:r>
    </w:p>
    <w:p w14:paraId="17944400" w14:textId="77777777" w:rsidR="001514EF" w:rsidRPr="006F2325" w:rsidRDefault="001514EF" w:rsidP="006F2325">
      <w:pPr>
        <w:widowControl/>
        <w:spacing w:before="225" w:after="225" w:line="480" w:lineRule="auto"/>
        <w:ind w:firstLineChars="100" w:firstLine="240"/>
        <w:jc w:val="left"/>
        <w:textAlignment w:val="baseline"/>
        <w:rPr>
          <w:rFonts w:ascii="Times New Roman" w:eastAsia="宋体" w:hAnsi="Times New Roman" w:cs="Times New Roman"/>
          <w:b/>
          <w:bCs/>
          <w:color w:val="000000" w:themeColor="text1"/>
          <w:kern w:val="0"/>
          <w:sz w:val="30"/>
          <w:szCs w:val="30"/>
        </w:rPr>
      </w:pPr>
      <w:r w:rsidRPr="006F2325">
        <w:rPr>
          <w:rFonts w:ascii="Times New Roman" w:eastAsia="宋体" w:hAnsi="Times New Roman" w:cs="Times New Roman"/>
          <w:color w:val="000000" w:themeColor="text1"/>
          <w:kern w:val="0"/>
          <w:sz w:val="24"/>
          <w:szCs w:val="21"/>
        </w:rPr>
        <w:lastRenderedPageBreak/>
        <w:t>This research was based on the review of published/publicly reported literature and did not require ethical approval.</w:t>
      </w:r>
    </w:p>
    <w:p w14:paraId="2E017351" w14:textId="77777777" w:rsidR="001514EF" w:rsidRPr="006F2325" w:rsidRDefault="001514EF" w:rsidP="006F2325">
      <w:pPr>
        <w:spacing w:after="200" w:line="480" w:lineRule="auto"/>
        <w:rPr>
          <w:rFonts w:ascii="Times New Roman" w:eastAsia="等线" w:hAnsi="Times New Roman" w:cs="Times New Roman"/>
          <w:color w:val="000000" w:themeColor="text1"/>
          <w:sz w:val="24"/>
          <w:szCs w:val="24"/>
        </w:rPr>
      </w:pPr>
      <w:r w:rsidRPr="006F2325">
        <w:rPr>
          <w:rFonts w:ascii="Times New Roman" w:eastAsia="等线" w:hAnsi="Times New Roman" w:cs="Times New Roman"/>
          <w:color w:val="000000" w:themeColor="text1"/>
          <w:sz w:val="24"/>
          <w:szCs w:val="24"/>
        </w:rPr>
        <w:br w:type="page"/>
      </w:r>
      <w:r w:rsidRPr="006F2325">
        <w:rPr>
          <w:rFonts w:ascii="Times New Roman" w:hAnsi="Times New Roman" w:cs="Times New Roman"/>
          <w:b/>
          <w:sz w:val="30"/>
          <w:szCs w:val="30"/>
        </w:rPr>
        <w:lastRenderedPageBreak/>
        <w:t>References</w:t>
      </w:r>
    </w:p>
    <w:p w14:paraId="08B1B09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w:t>
      </w:r>
      <w:r w:rsidRPr="00F36CC7">
        <w:rPr>
          <w:rFonts w:ascii="Times New Roman" w:hAnsi="Times New Roman" w:cs="Times New Roman"/>
          <w:noProof/>
          <w:sz w:val="21"/>
          <w:szCs w:val="21"/>
        </w:rPr>
        <w:tab/>
        <w:t>Staal SP. Molecular cloning of the akt oncogene and its human homologues AKT1 and AKT2: amplification of AKT1 in a primary human gastric adenocarcinoma. Proc Natl Acad Sci U S A. 1987;84(14):5034-7.</w:t>
      </w:r>
    </w:p>
    <w:p w14:paraId="23CF386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w:t>
      </w:r>
      <w:r w:rsidRPr="00F36CC7">
        <w:rPr>
          <w:rFonts w:ascii="Times New Roman" w:hAnsi="Times New Roman" w:cs="Times New Roman"/>
          <w:noProof/>
          <w:sz w:val="21"/>
          <w:szCs w:val="21"/>
        </w:rPr>
        <w:tab/>
        <w:t>Staal SP, Huebner K, Croce CM, Parsa NZ, Testa JR. The AKT1 proto-oncogene maps to human chromosome 14, band q32. Genomics. 1988;2(1):96-8.</w:t>
      </w:r>
    </w:p>
    <w:p w14:paraId="5FB3110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w:t>
      </w:r>
      <w:r w:rsidRPr="00F36CC7">
        <w:rPr>
          <w:rFonts w:ascii="Times New Roman" w:hAnsi="Times New Roman" w:cs="Times New Roman"/>
          <w:noProof/>
          <w:sz w:val="21"/>
          <w:szCs w:val="21"/>
        </w:rPr>
        <w:tab/>
        <w:t>Manning BD, Toker A. AKT/PKB Signaling: Navigating the Network. Cell. 2017;169(3):381-405.</w:t>
      </w:r>
    </w:p>
    <w:p w14:paraId="73A0CB9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w:t>
      </w:r>
      <w:r w:rsidRPr="00F36CC7">
        <w:rPr>
          <w:rFonts w:ascii="Times New Roman" w:hAnsi="Times New Roman" w:cs="Times New Roman"/>
          <w:noProof/>
          <w:sz w:val="21"/>
          <w:szCs w:val="21"/>
        </w:rPr>
        <w:tab/>
        <w:t>Masayuki N, Toshiyuki O, Futoshi S. Regulation of the PI3K-Akt Network: Current Status and a Promise for the Treatment of Human Diseases. Current Signal Transduction Therapy. 2008;3(2):138-51.</w:t>
      </w:r>
    </w:p>
    <w:p w14:paraId="7AAFA42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w:t>
      </w:r>
      <w:r w:rsidRPr="00F36CC7">
        <w:rPr>
          <w:rFonts w:ascii="Times New Roman" w:hAnsi="Times New Roman" w:cs="Times New Roman"/>
          <w:noProof/>
          <w:sz w:val="21"/>
          <w:szCs w:val="21"/>
        </w:rPr>
        <w:tab/>
        <w:t>Matsuo FS, Andrade MF, Loyola AM, da Silva SJ, Silva MJB, Cardoso SV, et al. Pathologic significance of AKT, mTOR, and GSK3β proteins in oral squamous cell carcinoma-affected patients. Virchows Archiv : an international journal of pathology. 2018;472(6):983-97.</w:t>
      </w:r>
    </w:p>
    <w:p w14:paraId="3F39DB9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w:t>
      </w:r>
      <w:r w:rsidRPr="00F36CC7">
        <w:rPr>
          <w:rFonts w:ascii="Times New Roman" w:hAnsi="Times New Roman" w:cs="Times New Roman"/>
          <w:noProof/>
          <w:sz w:val="21"/>
          <w:szCs w:val="21"/>
        </w:rPr>
        <w:tab/>
        <w:t>Mirdamadi Y, Bommhardt U, Goihl A, Guttek K, Zouboulis CC, Quist S, et al. Insulin and Insulin-like growth factor-1 can activate the phosphoinositide-3-kinase /Akt/FoxO1 pathway in T cells in vitro. Dermatoendocrinol. 2017;9(1):e1356518.</w:t>
      </w:r>
    </w:p>
    <w:p w14:paraId="29A90A57"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w:t>
      </w:r>
      <w:r w:rsidRPr="00F36CC7">
        <w:rPr>
          <w:rFonts w:ascii="Times New Roman" w:hAnsi="Times New Roman" w:cs="Times New Roman"/>
          <w:noProof/>
          <w:sz w:val="21"/>
          <w:szCs w:val="21"/>
        </w:rPr>
        <w:tab/>
        <w:t>Franke TF. PI3K/Akt: getting it right matters. Oncogene. 2008;27(50):6473-88.</w:t>
      </w:r>
    </w:p>
    <w:p w14:paraId="54FE7C1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w:t>
      </w:r>
      <w:r w:rsidRPr="00F36CC7">
        <w:rPr>
          <w:rFonts w:ascii="Times New Roman" w:hAnsi="Times New Roman" w:cs="Times New Roman"/>
          <w:noProof/>
          <w:sz w:val="21"/>
          <w:szCs w:val="21"/>
        </w:rPr>
        <w:tab/>
        <w:t>Yazdanpanah G, Jabbehdari S, Djalilian AR. Limbal and corneal epithelial homeostasis. Current opinion in ophthalmology. 2017;28(4):348-54.</w:t>
      </w:r>
    </w:p>
    <w:p w14:paraId="41EAE84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w:t>
      </w:r>
      <w:r w:rsidRPr="00F36CC7">
        <w:rPr>
          <w:rFonts w:ascii="Times New Roman" w:hAnsi="Times New Roman" w:cs="Times New Roman"/>
          <w:noProof/>
          <w:sz w:val="21"/>
          <w:szCs w:val="21"/>
        </w:rPr>
        <w:tab/>
        <w:t>Masterton S, Ahearne M. Mechanobiology of the corneal epithelium. Experimental Eye Research. 2018;177:122-9.</w:t>
      </w:r>
    </w:p>
    <w:p w14:paraId="6BDCC90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w:t>
      </w:r>
      <w:r w:rsidRPr="00F36CC7">
        <w:rPr>
          <w:rFonts w:ascii="Times New Roman" w:hAnsi="Times New Roman" w:cs="Times New Roman"/>
          <w:noProof/>
          <w:sz w:val="21"/>
          <w:szCs w:val="21"/>
        </w:rPr>
        <w:tab/>
        <w:t>Secker GA, Daniels JT. Limbal epithelial stem cells of the cornea: Harvard Stem Cell Institute; 2009 2009/06/30.</w:t>
      </w:r>
    </w:p>
    <w:p w14:paraId="1019BD7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w:t>
      </w:r>
      <w:r w:rsidRPr="00F36CC7">
        <w:rPr>
          <w:rFonts w:ascii="Times New Roman" w:hAnsi="Times New Roman" w:cs="Times New Roman"/>
          <w:noProof/>
          <w:sz w:val="21"/>
          <w:szCs w:val="21"/>
        </w:rPr>
        <w:tab/>
        <w:t>Wilson SE. Corneal wound healing. Experimental eye research. 2020;197:108089.</w:t>
      </w:r>
    </w:p>
    <w:p w14:paraId="4686F5B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w:t>
      </w:r>
      <w:r w:rsidRPr="00F36CC7">
        <w:rPr>
          <w:rFonts w:ascii="Times New Roman" w:hAnsi="Times New Roman" w:cs="Times New Roman"/>
          <w:noProof/>
          <w:sz w:val="21"/>
          <w:szCs w:val="21"/>
        </w:rPr>
        <w:tab/>
        <w:t>Shah R, Amador C, Tormanen K, Ghiam S, Saghizadeh M, Arumugaswami V, et al. Systemic diseases and the cornea. Experimental eye research. 2021;204:108455.</w:t>
      </w:r>
    </w:p>
    <w:p w14:paraId="428D6C1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13.</w:t>
      </w:r>
      <w:r w:rsidRPr="00F36CC7">
        <w:rPr>
          <w:rFonts w:ascii="Times New Roman" w:hAnsi="Times New Roman" w:cs="Times New Roman"/>
          <w:noProof/>
          <w:sz w:val="21"/>
          <w:szCs w:val="21"/>
        </w:rPr>
        <w:tab/>
        <w:t>Craig JP, Nichols KK, Akpek EK, Caffery B, Dua HS, Joo CK, et al. TFOS DEWS II Definition and Classification Report. The ocular surface. 2017;15(3):276-83.</w:t>
      </w:r>
    </w:p>
    <w:p w14:paraId="467946F6"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14.</w:t>
      </w:r>
      <w:r w:rsidRPr="00F36CC7">
        <w:rPr>
          <w:rFonts w:ascii="Times New Roman" w:hAnsi="Times New Roman" w:cs="Times New Roman"/>
          <w:noProof/>
          <w:sz w:val="21"/>
          <w:szCs w:val="21"/>
        </w:rPr>
        <w:tab/>
        <w:t>Lakhundi S, Siddiqui R, Khan NA. Pathogenesis of microbial keratitis. Microbial pathogenesis. 2017;104:97-109.</w:t>
      </w:r>
    </w:p>
    <w:p w14:paraId="35A42E9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15.</w:t>
      </w:r>
      <w:r w:rsidRPr="00F36CC7">
        <w:rPr>
          <w:rFonts w:ascii="Times New Roman" w:hAnsi="Times New Roman" w:cs="Times New Roman"/>
          <w:noProof/>
          <w:sz w:val="21"/>
          <w:szCs w:val="21"/>
        </w:rPr>
        <w:tab/>
        <w:t>Sharma S. Keratitis. Biosci Rep. 2001;21(4):419-44.</w:t>
      </w:r>
    </w:p>
    <w:p w14:paraId="769B83C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16.</w:t>
      </w:r>
      <w:r w:rsidRPr="00F36CC7">
        <w:rPr>
          <w:rFonts w:ascii="Times New Roman" w:hAnsi="Times New Roman" w:cs="Times New Roman"/>
          <w:noProof/>
          <w:sz w:val="21"/>
          <w:szCs w:val="21"/>
        </w:rPr>
        <w:tab/>
        <w:t>Guo Y, Wu W, Ma X, Shi M, Yang X. Comparative gene expression profiling reveals key pathways and genes different in skin epidermal stem cells and corneal epithelial cells. Genes &amp; Genomics. 2019;41(6):679-88.</w:t>
      </w:r>
    </w:p>
    <w:p w14:paraId="471A98D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17.</w:t>
      </w:r>
      <w:r w:rsidRPr="00F36CC7">
        <w:rPr>
          <w:rFonts w:ascii="Times New Roman" w:hAnsi="Times New Roman" w:cs="Times New Roman"/>
          <w:noProof/>
          <w:sz w:val="21"/>
          <w:szCs w:val="21"/>
        </w:rPr>
        <w:tab/>
        <w:t>Han L, Su W, Huang J, Zhou J, Qiu S, Liang D. Doxycycline Inhibits Inflammation-Induced Lymphangiogenesis in Mouse Cornea by Multiple Mechanisms. PLOS ONE. 2014;9(9):e108931.</w:t>
      </w:r>
    </w:p>
    <w:p w14:paraId="6265872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18.</w:t>
      </w:r>
      <w:r w:rsidRPr="00F36CC7">
        <w:rPr>
          <w:rFonts w:ascii="Times New Roman" w:hAnsi="Times New Roman" w:cs="Times New Roman"/>
          <w:noProof/>
          <w:sz w:val="21"/>
          <w:szCs w:val="21"/>
        </w:rPr>
        <w:tab/>
        <w:t>Li X, Sun M, Long Y. Cyanidin-3-O-Glucoside Attenuates Lipopolysaccharide-Induced Inflammation in Human Corneal Epithelial Cells by Inducing Let-7b-5p-Mediated HMGA2/PI3K/Akt Pathway. Inflammation. 2020;43(3):1088-96.</w:t>
      </w:r>
    </w:p>
    <w:p w14:paraId="6BFDEAD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19.</w:t>
      </w:r>
      <w:r w:rsidRPr="00F36CC7">
        <w:rPr>
          <w:rFonts w:ascii="Times New Roman" w:hAnsi="Times New Roman" w:cs="Times New Roman"/>
          <w:noProof/>
          <w:sz w:val="21"/>
          <w:szCs w:val="21"/>
        </w:rPr>
        <w:tab/>
        <w:t xml:space="preserve">Bettahi I, Sun H, Gao N, Wang F, Mi X, Chen W, et al. Genome-Wide Transcriptional Analysis of Differentially Expressed Genes in Diabetic, Healing Corneal Epithelial Cells: Hyperglycemia-Suppressed TGFβ3 Expression Contributes to the Delay of Epithelial Wound Healing in Diabetic </w:t>
      </w:r>
      <w:r w:rsidRPr="00F36CC7">
        <w:rPr>
          <w:rFonts w:ascii="Times New Roman" w:hAnsi="Times New Roman" w:cs="Times New Roman"/>
          <w:noProof/>
          <w:sz w:val="21"/>
          <w:szCs w:val="21"/>
        </w:rPr>
        <w:lastRenderedPageBreak/>
        <w:t>Corneas. Diabetes. 2014;63(2):715-27.</w:t>
      </w:r>
    </w:p>
    <w:p w14:paraId="0726D22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20.</w:t>
      </w:r>
      <w:r w:rsidRPr="00F36CC7">
        <w:rPr>
          <w:rFonts w:ascii="Times New Roman" w:hAnsi="Times New Roman" w:cs="Times New Roman"/>
          <w:noProof/>
          <w:sz w:val="21"/>
          <w:szCs w:val="21"/>
        </w:rPr>
        <w:tab/>
        <w:t>Liu F, Kong H, Kong X. Transforming growth factor-β blocks glucose-induced inflammation and apoptosis in corneal epithelial cells. FEBS open bio. 2018;8(12):1936-42.</w:t>
      </w:r>
    </w:p>
    <w:p w14:paraId="77592E3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21.</w:t>
      </w:r>
      <w:r w:rsidRPr="00F36CC7">
        <w:rPr>
          <w:rFonts w:ascii="Times New Roman" w:hAnsi="Times New Roman" w:cs="Times New Roman"/>
          <w:noProof/>
          <w:sz w:val="21"/>
          <w:szCs w:val="21"/>
        </w:rPr>
        <w:tab/>
        <w:t>Redfern RL, Barabino S, Baxter J, Lema C, McDermott AM. Dry eye modulates the expression of toll-like receptors on the ocular surface. Experimental eye research. 2015;134:80-9.</w:t>
      </w:r>
    </w:p>
    <w:p w14:paraId="334E93C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22.</w:t>
      </w:r>
      <w:r w:rsidRPr="00F36CC7">
        <w:rPr>
          <w:rFonts w:ascii="Times New Roman" w:hAnsi="Times New Roman" w:cs="Times New Roman"/>
          <w:noProof/>
          <w:sz w:val="21"/>
          <w:szCs w:val="21"/>
        </w:rPr>
        <w:tab/>
        <w:t>Park JH, Moon SH, Kang DH, Um HJ, Kang SS, Kim JY, et al. Diquafosol Sodium Inhibits Apoptosis and Inflammation of Corneal Epithelial Cells Via Activation of Erk1/2 and RSK: In Vitro and In Vivo Dry Eye Model. Invest Ophthalmol Vis Sci. 2018;59(12):5108-15.</w:t>
      </w:r>
    </w:p>
    <w:p w14:paraId="6887073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23.</w:t>
      </w:r>
      <w:r w:rsidRPr="00F36CC7">
        <w:rPr>
          <w:rFonts w:ascii="Times New Roman" w:hAnsi="Times New Roman" w:cs="Times New Roman"/>
          <w:noProof/>
          <w:sz w:val="21"/>
          <w:szCs w:val="21"/>
        </w:rPr>
        <w:tab/>
        <w:t>Chen H, Hua XM, Ze BC, Wang B, Wei L. The anti-inflammatory effects of asiatic acid in lipopolysaccharide-stimulated human corneal epithelial cells. International journal of ophthalmology. 2017;10(2):179-85.</w:t>
      </w:r>
    </w:p>
    <w:p w14:paraId="1F2B9F7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24.</w:t>
      </w:r>
      <w:r w:rsidRPr="00F36CC7">
        <w:rPr>
          <w:rFonts w:ascii="Times New Roman" w:hAnsi="Times New Roman" w:cs="Times New Roman"/>
          <w:noProof/>
          <w:sz w:val="21"/>
          <w:szCs w:val="21"/>
        </w:rPr>
        <w:tab/>
        <w:t>Peterson JL, Ceresa BP. Epidermal Growth Factor Receptor Expression in the Corneal Epithelium. Cells. 2021;10(9).</w:t>
      </w:r>
    </w:p>
    <w:p w14:paraId="6792838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25.</w:t>
      </w:r>
      <w:r w:rsidRPr="00F36CC7">
        <w:rPr>
          <w:rFonts w:ascii="Times New Roman" w:hAnsi="Times New Roman" w:cs="Times New Roman"/>
          <w:noProof/>
          <w:sz w:val="21"/>
          <w:szCs w:val="21"/>
        </w:rPr>
        <w:tab/>
        <w:t>Ding L, Gao LJ, Gu PQ, Guo SY, Cai YQ, Zhou XT. The role of eIF5A in epidermal growth factor-induced proliferation of corneal epithelial cell association with PI3-k/Akt activation. Mol Vis. 2011;17:16-22.</w:t>
      </w:r>
    </w:p>
    <w:p w14:paraId="7ACDD62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26.</w:t>
      </w:r>
      <w:r w:rsidRPr="00F36CC7">
        <w:rPr>
          <w:rFonts w:ascii="Times New Roman" w:hAnsi="Times New Roman" w:cs="Times New Roman"/>
          <w:noProof/>
          <w:sz w:val="21"/>
          <w:szCs w:val="21"/>
        </w:rPr>
        <w:tab/>
        <w:t>Zhang L, Yuan Y, Yeh LK, Dong F, Zhang J, Okada Y, et al. Excess Transforming Growth Factor-α Changed the Cell Properties of Corneal Epithelium and Stroma. Invest Ophthalmol Vis Sci. 2020;61(8):20.</w:t>
      </w:r>
    </w:p>
    <w:p w14:paraId="459E2BE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27.</w:t>
      </w:r>
      <w:r w:rsidRPr="00F36CC7">
        <w:rPr>
          <w:rFonts w:ascii="Times New Roman" w:hAnsi="Times New Roman" w:cs="Times New Roman"/>
          <w:noProof/>
          <w:sz w:val="21"/>
          <w:szCs w:val="21"/>
        </w:rPr>
        <w:tab/>
        <w:t>Yin J, Xu K, Zhang J, Kumar A, Yu FS. Wound-induced ATP release and EGF receptor activation in epithelial cells. J Cell Sci. 2007;120(Pt 5):815-25.</w:t>
      </w:r>
    </w:p>
    <w:p w14:paraId="60080A1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28.</w:t>
      </w:r>
      <w:r w:rsidRPr="00F36CC7">
        <w:rPr>
          <w:rFonts w:ascii="Times New Roman" w:hAnsi="Times New Roman" w:cs="Times New Roman"/>
          <w:noProof/>
          <w:sz w:val="21"/>
          <w:szCs w:val="21"/>
        </w:rPr>
        <w:tab/>
        <w:t>Klepeis VE, Weinger I, Kaczmarek E, Trinkaus-Randall V. P2Y receptors play a critical role in epithelial cell communication and migration. J Cell Biochem. 2004;93(6):1115-33.</w:t>
      </w:r>
    </w:p>
    <w:p w14:paraId="2F793E1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29.</w:t>
      </w:r>
      <w:r w:rsidRPr="00F36CC7">
        <w:rPr>
          <w:rFonts w:ascii="Times New Roman" w:hAnsi="Times New Roman" w:cs="Times New Roman"/>
          <w:noProof/>
          <w:sz w:val="21"/>
          <w:szCs w:val="21"/>
        </w:rPr>
        <w:tab/>
        <w:t>Zhang F, Yang H, Pan Z, Wang Z, Wolosin JM, Gjorstrup P, et al. Dependence of resolvin-induced increases in corneal epithelial cell migration on EGF receptor transactivation. Invest Ophthalmol Vis Sci. 2010;51(11):5601-9.</w:t>
      </w:r>
    </w:p>
    <w:p w14:paraId="5950221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30.</w:t>
      </w:r>
      <w:r w:rsidRPr="00F36CC7">
        <w:rPr>
          <w:rFonts w:ascii="Times New Roman" w:hAnsi="Times New Roman" w:cs="Times New Roman"/>
          <w:noProof/>
          <w:sz w:val="21"/>
          <w:szCs w:val="21"/>
        </w:rPr>
        <w:tab/>
        <w:t>Teranishi S, Kimura K, Nishida T. Role of formation of an ERK-FAK-paxillin complex in migration of human corneal epithelial cells during wound closure in vitro. Invest Ophthalmol Vis Sci. 2009;50(12):5646-52.</w:t>
      </w:r>
    </w:p>
    <w:p w14:paraId="7237CFF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31.</w:t>
      </w:r>
      <w:r w:rsidRPr="00F36CC7">
        <w:rPr>
          <w:rFonts w:ascii="Times New Roman" w:hAnsi="Times New Roman" w:cs="Times New Roman"/>
          <w:noProof/>
          <w:sz w:val="21"/>
          <w:szCs w:val="21"/>
        </w:rPr>
        <w:tab/>
        <w:t>Nguyen AX, Wu AY. Cannabis and the Cornea. Ocular immunology and inflammation. 2021;29(5):1023-8.</w:t>
      </w:r>
    </w:p>
    <w:p w14:paraId="62326F9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32.</w:t>
      </w:r>
      <w:r w:rsidRPr="00F36CC7">
        <w:rPr>
          <w:rFonts w:ascii="Times New Roman" w:hAnsi="Times New Roman" w:cs="Times New Roman"/>
          <w:noProof/>
          <w:sz w:val="21"/>
          <w:szCs w:val="21"/>
        </w:rPr>
        <w:tab/>
        <w:t>Yang Y, Yang H, Wang Z, Varadaraj K, Kumari SS, Mergler S, et al. Cannabinoid receptor 1 suppresses transient receptor potential vanilloid 1-induced inflammatory responses to corneal injury. Cellular signalling. 2013;25(2):501-11.</w:t>
      </w:r>
    </w:p>
    <w:p w14:paraId="43EF5EC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33.</w:t>
      </w:r>
      <w:r w:rsidRPr="00F36CC7">
        <w:rPr>
          <w:rFonts w:ascii="Times New Roman" w:hAnsi="Times New Roman" w:cs="Times New Roman"/>
          <w:noProof/>
          <w:sz w:val="21"/>
          <w:szCs w:val="21"/>
        </w:rPr>
        <w:tab/>
        <w:t>Yang H, Wang Z, Capó-Aponte JE, Zhang F, Pan Z, Reinach PS. Epidermal growth factor receptor transactivation by the cannabinoid receptor (CB1) and transient receptor potential vanilloid 1 (TRPV1) induces differential responses in corneal epithelial cells. Experimental eye research. 2010;91(3):462-71.</w:t>
      </w:r>
    </w:p>
    <w:p w14:paraId="5114B6B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34.</w:t>
      </w:r>
      <w:r w:rsidRPr="00F36CC7">
        <w:rPr>
          <w:rFonts w:ascii="Times New Roman" w:hAnsi="Times New Roman" w:cs="Times New Roman"/>
          <w:noProof/>
          <w:sz w:val="21"/>
          <w:szCs w:val="21"/>
        </w:rPr>
        <w:tab/>
        <w:t>Murataeva N, Li S, Oehler O, Miller S, Dhopeshwarkar A, Hu SS, et al. Cannabinoid-induced chemotaxis in bovine corneal epithelial cells. Invest Ophthalmol Vis Sci. 2015;56(5):3304-13.</w:t>
      </w:r>
    </w:p>
    <w:p w14:paraId="22B3497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35.</w:t>
      </w:r>
      <w:r w:rsidRPr="00F36CC7">
        <w:rPr>
          <w:rFonts w:ascii="Times New Roman" w:hAnsi="Times New Roman" w:cs="Times New Roman"/>
          <w:noProof/>
          <w:sz w:val="21"/>
          <w:szCs w:val="21"/>
        </w:rPr>
        <w:tab/>
        <w:t>Wu YC, Zhu M, Robertson DM. Novel nuclear localization and potential function of insulin-like growth factor-1 receptor/insulin receptor hybrid in corneal epithelial cells. PLoS One. 2012;7(8):e42483.</w:t>
      </w:r>
    </w:p>
    <w:p w14:paraId="5315A3F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36.</w:t>
      </w:r>
      <w:r w:rsidRPr="00F36CC7">
        <w:rPr>
          <w:rFonts w:ascii="Times New Roman" w:hAnsi="Times New Roman" w:cs="Times New Roman"/>
          <w:noProof/>
          <w:sz w:val="21"/>
          <w:szCs w:val="21"/>
        </w:rPr>
        <w:tab/>
        <w:t xml:space="preserve">Robertson DM, Zhu M, Wu YC. Cellular distribution of the IGF-1R in corneal epithelial cells. </w:t>
      </w:r>
      <w:r w:rsidRPr="00F36CC7">
        <w:rPr>
          <w:rFonts w:ascii="Times New Roman" w:hAnsi="Times New Roman" w:cs="Times New Roman"/>
          <w:noProof/>
          <w:sz w:val="21"/>
          <w:szCs w:val="21"/>
        </w:rPr>
        <w:lastRenderedPageBreak/>
        <w:t>Experimental eye research. 2012;94(1):179-86.</w:t>
      </w:r>
    </w:p>
    <w:p w14:paraId="0040C0E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37.</w:t>
      </w:r>
      <w:r w:rsidRPr="00F36CC7">
        <w:rPr>
          <w:rFonts w:ascii="Times New Roman" w:hAnsi="Times New Roman" w:cs="Times New Roman"/>
          <w:noProof/>
          <w:sz w:val="21"/>
          <w:szCs w:val="21"/>
        </w:rPr>
        <w:tab/>
        <w:t>Rocha EM, Cunha DA, Carneiro EM, Boschero AC, Saad MJ, Velloso LA. Identification of insulin in the tear film and insulin receptor and IGF-1 receptor on the human ocular surface. Invest Ophthalmol Vis Sci. 2002;43(4):963-7.</w:t>
      </w:r>
    </w:p>
    <w:p w14:paraId="4F354D4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38.</w:t>
      </w:r>
      <w:r w:rsidRPr="00F36CC7">
        <w:rPr>
          <w:rFonts w:ascii="Times New Roman" w:hAnsi="Times New Roman" w:cs="Times New Roman"/>
          <w:noProof/>
          <w:sz w:val="21"/>
          <w:szCs w:val="21"/>
        </w:rPr>
        <w:tab/>
        <w:t>Stuard WL, Titone R, Robertson DM. The IGF/Insulin-IGFBP Axis in Corneal Development, Wound Healing, and Disease. Front Endocrinol (Lausanne). 2020;11:24.</w:t>
      </w:r>
    </w:p>
    <w:p w14:paraId="4AE1DA0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39.</w:t>
      </w:r>
      <w:r w:rsidRPr="00F36CC7">
        <w:rPr>
          <w:rFonts w:ascii="Times New Roman" w:hAnsi="Times New Roman" w:cs="Times New Roman"/>
          <w:noProof/>
          <w:sz w:val="21"/>
          <w:szCs w:val="21"/>
        </w:rPr>
        <w:tab/>
        <w:t>Titone R, Robertson DM. Insulin receptor preserves mitochondrial function by binding VDAC1 in insulin insensitive mucosal epithelial cells. Faseb j. 2020;34(1):754-75.</w:t>
      </w:r>
    </w:p>
    <w:p w14:paraId="5576533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40.</w:t>
      </w:r>
      <w:r w:rsidRPr="00F36CC7">
        <w:rPr>
          <w:rFonts w:ascii="Times New Roman" w:hAnsi="Times New Roman" w:cs="Times New Roman"/>
          <w:noProof/>
          <w:sz w:val="21"/>
          <w:szCs w:val="21"/>
        </w:rPr>
        <w:tab/>
        <w:t>Chandrasekher G, Pothula S, Maharaj G, Bazan HE. Differential effects of hepatocyte growth factor and keratinocyte growth factor on corneal epithelial cell cycle protein expression, cell survival, and growth. Mol Vis. 2014;20:24-37.</w:t>
      </w:r>
    </w:p>
    <w:p w14:paraId="3762B3C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41.</w:t>
      </w:r>
      <w:r w:rsidRPr="00F36CC7">
        <w:rPr>
          <w:rFonts w:ascii="Times New Roman" w:hAnsi="Times New Roman" w:cs="Times New Roman"/>
          <w:noProof/>
          <w:sz w:val="21"/>
          <w:szCs w:val="21"/>
        </w:rPr>
        <w:tab/>
        <w:t>Hong J, Qian T, Le Q, Sun X, Wu J, Chen J, et al. NGF promotes cell cycle progression by regulating D-type cyclins via PI3K/Akt and MAPK/Erk activation in human corneal epithelial cells. Mol Vis. 2012;18:758-64.</w:t>
      </w:r>
    </w:p>
    <w:p w14:paraId="6096BFF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42.</w:t>
      </w:r>
      <w:r w:rsidRPr="00F36CC7">
        <w:rPr>
          <w:rFonts w:ascii="Times New Roman" w:hAnsi="Times New Roman" w:cs="Times New Roman"/>
          <w:noProof/>
          <w:sz w:val="21"/>
          <w:szCs w:val="21"/>
        </w:rPr>
        <w:tab/>
        <w:t>Park JH, Kang SS, Kim JY, Tchah H. Nerve Growth Factor Attenuates Apoptosis and Inflammation in the Diabetic Cornea. Invest Ophthalmol Vis Sci. 2016;57(15):6767-75.</w:t>
      </w:r>
    </w:p>
    <w:p w14:paraId="125034B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43.</w:t>
      </w:r>
      <w:r w:rsidRPr="00F36CC7">
        <w:rPr>
          <w:rFonts w:ascii="Times New Roman" w:hAnsi="Times New Roman" w:cs="Times New Roman"/>
          <w:noProof/>
          <w:sz w:val="21"/>
          <w:szCs w:val="21"/>
        </w:rPr>
        <w:tab/>
        <w:t>Di G, Zhao X, Qi X, Zhang S, Feng L, Shi W, et al. VEGF-B promotes recovery of corneal innervations and trophic functions in diabetic mice. Sci Rep. 2017;7:40582.</w:t>
      </w:r>
    </w:p>
    <w:p w14:paraId="2A020D5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44.</w:t>
      </w:r>
      <w:r w:rsidRPr="00F36CC7">
        <w:rPr>
          <w:rFonts w:ascii="Times New Roman" w:hAnsi="Times New Roman" w:cs="Times New Roman"/>
          <w:noProof/>
          <w:sz w:val="21"/>
          <w:szCs w:val="21"/>
        </w:rPr>
        <w:tab/>
        <w:t>Wilson SE, Torricelli AAM, Marino GK. Corneal epithelial basement membrane: Structure, function and regeneration. Experimental eye research. 2020;194:108002.</w:t>
      </w:r>
    </w:p>
    <w:p w14:paraId="2BC7A94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45.</w:t>
      </w:r>
      <w:r w:rsidRPr="00F36CC7">
        <w:rPr>
          <w:rFonts w:ascii="Times New Roman" w:hAnsi="Times New Roman" w:cs="Times New Roman"/>
          <w:noProof/>
          <w:sz w:val="21"/>
          <w:szCs w:val="21"/>
        </w:rPr>
        <w:tab/>
        <w:t>Yang L, Di G, Qi X, Qu M, Wang Y, Duan H, et al. Substance P promotes diabetic corneal epithelial wound healing through molecular mechanisms mediated via the neurokinin-1 receptor. Diabetes. 2014;63(12):4262-74.</w:t>
      </w:r>
    </w:p>
    <w:p w14:paraId="25B6431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46.</w:t>
      </w:r>
      <w:r w:rsidRPr="00F36CC7">
        <w:rPr>
          <w:rFonts w:ascii="Times New Roman" w:hAnsi="Times New Roman" w:cs="Times New Roman"/>
          <w:noProof/>
          <w:sz w:val="21"/>
          <w:szCs w:val="21"/>
        </w:rPr>
        <w:tab/>
        <w:t>Suvas S. Role of Substance P Neuropeptide in Inflammation, Wound Healing, and Tissue Homeostasis. Journal of immunology (Baltimore, Md : 1950). 2017;199(5):1543-52.</w:t>
      </w:r>
    </w:p>
    <w:p w14:paraId="5C37AC1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47.</w:t>
      </w:r>
      <w:r w:rsidRPr="00F36CC7">
        <w:rPr>
          <w:rFonts w:ascii="Times New Roman" w:hAnsi="Times New Roman" w:cs="Times New Roman"/>
          <w:noProof/>
          <w:sz w:val="21"/>
          <w:szCs w:val="21"/>
        </w:rPr>
        <w:tab/>
        <w:t>Yang L, Sui W, Li Y, Qi X, Wang Y, Zhou Q, et al. Substance P Inhibits Hyperosmotic Stress-Induced Apoptosis in Corneal Epithelial Cells through the Mechanism of Akt Activation and Reactive Oxygen Species Scavenging via the Neurokinin-1 Receptor. PLoS One. 2016;11(2):e0149865.</w:t>
      </w:r>
    </w:p>
    <w:p w14:paraId="5ED1715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48.</w:t>
      </w:r>
      <w:r w:rsidRPr="00F36CC7">
        <w:rPr>
          <w:rFonts w:ascii="Times New Roman" w:hAnsi="Times New Roman" w:cs="Times New Roman"/>
          <w:noProof/>
          <w:sz w:val="21"/>
          <w:szCs w:val="21"/>
        </w:rPr>
        <w:tab/>
        <w:t>Yanai R, Nishida T, Hatano M, Uchi SH, Yamada N, Kimura K. Role of the Neurokinin-1 Receptor in the Promotion of Corneal Epithelial Wound Healing by the Peptides FGLM-NH2 and SSSR in Neurotrophic Keratopathy. Invest Ophthalmol Vis Sci. 2020;61(8):29.</w:t>
      </w:r>
    </w:p>
    <w:p w14:paraId="23F66DB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49.</w:t>
      </w:r>
      <w:r w:rsidRPr="00F36CC7">
        <w:rPr>
          <w:rFonts w:ascii="Times New Roman" w:hAnsi="Times New Roman" w:cs="Times New Roman"/>
          <w:noProof/>
          <w:sz w:val="21"/>
          <w:szCs w:val="21"/>
        </w:rPr>
        <w:tab/>
        <w:t>Wang P, Me R, Yuan Y, Yu Y, Li M, Ke B. Substance P inhibits high urea-induced apoptosis through the AKT/GSK-3β pathway in human corneal epithelial cells. J Cell Biochem. 2019.</w:t>
      </w:r>
    </w:p>
    <w:p w14:paraId="3FDC3ED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50.</w:t>
      </w:r>
      <w:r w:rsidRPr="00F36CC7">
        <w:rPr>
          <w:rFonts w:ascii="Times New Roman" w:hAnsi="Times New Roman" w:cs="Times New Roman"/>
          <w:noProof/>
          <w:sz w:val="21"/>
          <w:szCs w:val="21"/>
        </w:rPr>
        <w:tab/>
        <w:t>Zhang J, Li H, Wang J, Dong Z, Mian S, Yu FS. Role of EGFR transactivation in preventing apoptosis in Pseudomonas aeruginosa-infected human corneal epithelial cells. Invest Ophthalmol Vis Sci. 2004;45(8):2569-76.</w:t>
      </w:r>
    </w:p>
    <w:p w14:paraId="7F64199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51.</w:t>
      </w:r>
      <w:r w:rsidRPr="00F36CC7">
        <w:rPr>
          <w:rFonts w:ascii="Times New Roman" w:hAnsi="Times New Roman" w:cs="Times New Roman"/>
          <w:noProof/>
          <w:sz w:val="21"/>
          <w:szCs w:val="21"/>
        </w:rPr>
        <w:tab/>
        <w:t>Yamada N, Yanai R, Nakamura M, Inui M, Nishida T. Role of the C domain of IGFs in synergistic promotion, with a substance P-derived peptide, of rabbit corneal epithelial wound healing. Invest Ophthalmol Vis Sci. 2004;45(4):1125-31.</w:t>
      </w:r>
    </w:p>
    <w:p w14:paraId="3E35D0D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52.</w:t>
      </w:r>
      <w:r w:rsidRPr="00F36CC7">
        <w:rPr>
          <w:rFonts w:ascii="Times New Roman" w:hAnsi="Times New Roman" w:cs="Times New Roman"/>
          <w:noProof/>
          <w:sz w:val="21"/>
          <w:szCs w:val="21"/>
        </w:rPr>
        <w:tab/>
        <w:t>Yamada N, Yanai R, Inui M, Nishida T. Sensitizing effect of substance P on corneal epithelial migration induced by IGF-1, fibronectin, or interleukin-6. Invest Ophthalmol Vis Sci. 2005;46(3):833-9.</w:t>
      </w:r>
    </w:p>
    <w:p w14:paraId="319A1AB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53.</w:t>
      </w:r>
      <w:r w:rsidRPr="00F36CC7">
        <w:rPr>
          <w:rFonts w:ascii="Times New Roman" w:hAnsi="Times New Roman" w:cs="Times New Roman"/>
          <w:noProof/>
          <w:sz w:val="21"/>
          <w:szCs w:val="21"/>
        </w:rPr>
        <w:tab/>
        <w:t xml:space="preserve">Huo Y, Chen W, Zheng X, Zhao J, Zhang Q, Hou Y, et al. The protective effect of EGF-activated </w:t>
      </w:r>
      <w:r w:rsidRPr="00F36CC7">
        <w:rPr>
          <w:rFonts w:ascii="Times New Roman" w:hAnsi="Times New Roman" w:cs="Times New Roman"/>
          <w:noProof/>
          <w:sz w:val="21"/>
          <w:szCs w:val="21"/>
        </w:rPr>
        <w:lastRenderedPageBreak/>
        <w:t>ROS in human corneal epithelial cells by inducing mitochondrial autophagy via activation TRPM2. J Cell Physiol. 2020;235(10):7018-29.</w:t>
      </w:r>
    </w:p>
    <w:p w14:paraId="0000421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54.</w:t>
      </w:r>
      <w:r w:rsidRPr="00F36CC7">
        <w:rPr>
          <w:rFonts w:ascii="Times New Roman" w:hAnsi="Times New Roman" w:cs="Times New Roman"/>
          <w:noProof/>
          <w:sz w:val="21"/>
          <w:szCs w:val="21"/>
        </w:rPr>
        <w:tab/>
        <w:t>Miao Q, Xu Y, Zhang H, Xu P, Ye J. Cigarette smoke induces ROS mediated autophagy impairment in human corneal epithelial cells. Environ Pollut. 2019;245:389-97.</w:t>
      </w:r>
    </w:p>
    <w:p w14:paraId="24F525A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55.</w:t>
      </w:r>
      <w:r w:rsidRPr="00F36CC7">
        <w:rPr>
          <w:rFonts w:ascii="Times New Roman" w:hAnsi="Times New Roman" w:cs="Times New Roman"/>
          <w:noProof/>
          <w:sz w:val="21"/>
          <w:szCs w:val="21"/>
        </w:rPr>
        <w:tab/>
        <w:t>Huo YN, Chen W, Zheng XX. ROS, MAPK/ERK and PKC play distinct roles in EGF-stimulated human corneal cell proliferation and migration. Cellular and molecular biology (Noisy-le-Grand, France). 2015;61(7):6-11.</w:t>
      </w:r>
    </w:p>
    <w:p w14:paraId="6BB17C2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56.</w:t>
      </w:r>
      <w:r w:rsidRPr="00F36CC7">
        <w:rPr>
          <w:rFonts w:ascii="Times New Roman" w:hAnsi="Times New Roman" w:cs="Times New Roman"/>
          <w:noProof/>
          <w:sz w:val="21"/>
          <w:szCs w:val="21"/>
        </w:rPr>
        <w:tab/>
        <w:t>Zhang J, Wang X, Vikash V, Ye Q, Wu D, Liu Y, et al. ROS and ROS-Mediated Cellular Signaling. Oxid Med Cell Longev. 2016;2016:4350965.</w:t>
      </w:r>
    </w:p>
    <w:p w14:paraId="12F617E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57.</w:t>
      </w:r>
      <w:r w:rsidRPr="00F36CC7">
        <w:rPr>
          <w:rFonts w:ascii="Times New Roman" w:hAnsi="Times New Roman" w:cs="Times New Roman"/>
          <w:noProof/>
          <w:sz w:val="21"/>
          <w:szCs w:val="21"/>
        </w:rPr>
        <w:tab/>
        <w:t>Ahmad A, Ahsan H. Biomarkers of inflammation and oxidative stress in ophthalmic disorders. Journal of immunoassay &amp; immunochemistry. 2020;41(3):257-71.</w:t>
      </w:r>
    </w:p>
    <w:p w14:paraId="05FECF8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58.</w:t>
      </w:r>
      <w:r w:rsidRPr="00F36CC7">
        <w:rPr>
          <w:rFonts w:ascii="Times New Roman" w:hAnsi="Times New Roman" w:cs="Times New Roman"/>
          <w:noProof/>
          <w:sz w:val="21"/>
          <w:szCs w:val="21"/>
        </w:rPr>
        <w:tab/>
        <w:t>Niu L, Li L, Xing C, Luo B, Hu C, Song M, et al. Airborne particulate matter (PM(2.5)) triggers cornea inflammation and pyroptosis via NLRP3 activation. Ecotoxicol Environ Saf. 2021;207:111306.</w:t>
      </w:r>
    </w:p>
    <w:p w14:paraId="1B6B6D9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59.</w:t>
      </w:r>
      <w:r w:rsidRPr="00F36CC7">
        <w:rPr>
          <w:rFonts w:ascii="Times New Roman" w:hAnsi="Times New Roman" w:cs="Times New Roman"/>
          <w:noProof/>
          <w:sz w:val="21"/>
          <w:szCs w:val="21"/>
        </w:rPr>
        <w:tab/>
        <w:t>Zhang J, Dai Y, Wei C, Zhao X, Zhou Q, Xie L. DNase I improves corneal epithelial and nerve regeneration in diabetic mice. Journal of cellular and molecular medicine. 2020;24(8):4547-56.</w:t>
      </w:r>
    </w:p>
    <w:p w14:paraId="0359138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60.</w:t>
      </w:r>
      <w:r w:rsidRPr="00F36CC7">
        <w:rPr>
          <w:rFonts w:ascii="Times New Roman" w:hAnsi="Times New Roman" w:cs="Times New Roman"/>
          <w:noProof/>
          <w:sz w:val="21"/>
          <w:szCs w:val="21"/>
        </w:rPr>
        <w:tab/>
        <w:t>Xu KP, Li Y, Ljubimov AV, Yu FS. High glucose suppresses epidermal growth factor receptor/phosphatidylinositol 3-kinase/Akt signaling pathway and attenuates corneal epithelial wound healing. Diabetes. 2009;58(5):1077-85.</w:t>
      </w:r>
    </w:p>
    <w:p w14:paraId="0B4DEBD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61.</w:t>
      </w:r>
      <w:r w:rsidRPr="00F36CC7">
        <w:rPr>
          <w:rFonts w:ascii="Times New Roman" w:hAnsi="Times New Roman" w:cs="Times New Roman"/>
          <w:noProof/>
          <w:sz w:val="21"/>
          <w:szCs w:val="21"/>
        </w:rPr>
        <w:tab/>
        <w:t>Li H, Fan TJ, Zou P, Xu B. Diclofenac Sodium Triggers p53-Dependent Apoptosis in Human Corneal Epithelial Cells via ROS-Mediated Crosstalk. Chem Res Toxicol. 2021;34(1):70-9.</w:t>
      </w:r>
    </w:p>
    <w:p w14:paraId="475C945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62.</w:t>
      </w:r>
      <w:r w:rsidRPr="00F36CC7">
        <w:rPr>
          <w:rFonts w:ascii="Times New Roman" w:hAnsi="Times New Roman" w:cs="Times New Roman"/>
          <w:noProof/>
          <w:sz w:val="21"/>
          <w:szCs w:val="21"/>
        </w:rPr>
        <w:tab/>
        <w:t>Mihara M, Erster S, Zaika A, Petrenko O, Chittenden T, Pancoska P, et al. p53 has a direct apoptogenic role at the mitochondria. Molecular cell. 2003;11(3):577-90.</w:t>
      </w:r>
    </w:p>
    <w:p w14:paraId="45B4425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63.</w:t>
      </w:r>
      <w:r w:rsidRPr="00F36CC7">
        <w:rPr>
          <w:rFonts w:ascii="Times New Roman" w:hAnsi="Times New Roman" w:cs="Times New Roman"/>
          <w:noProof/>
          <w:sz w:val="21"/>
          <w:szCs w:val="21"/>
        </w:rPr>
        <w:tab/>
        <w:t>Shan M, Fan TJ. Cytotoxicity of carteolol to human corneal epithelial cells by inducing apoptosis via triggering the Bcl-2 family protein-mediated mitochondrial pro-apoptotic pathway. Toxicol In Vitro. 2016;35:36-42.</w:t>
      </w:r>
    </w:p>
    <w:p w14:paraId="2F6126C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64.</w:t>
      </w:r>
      <w:r w:rsidRPr="00F36CC7">
        <w:rPr>
          <w:rFonts w:ascii="Times New Roman" w:hAnsi="Times New Roman" w:cs="Times New Roman"/>
          <w:noProof/>
          <w:sz w:val="21"/>
          <w:szCs w:val="21"/>
        </w:rPr>
        <w:tab/>
        <w:t>Huo Y, Qiu WY, Pan Q, Yao YF, Xing K, Lou MF. Reactive oxygen species (ROS) are essential mediators in epidermal growth factor (EGF)-stimulated corneal epithelial cell proliferation, adhesion, migration, and wound healing. Experimental eye research. 2009;89(6):876-86.</w:t>
      </w:r>
    </w:p>
    <w:p w14:paraId="3D192B6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65.</w:t>
      </w:r>
      <w:r w:rsidRPr="00F36CC7">
        <w:rPr>
          <w:rFonts w:ascii="Times New Roman" w:hAnsi="Times New Roman" w:cs="Times New Roman"/>
          <w:noProof/>
          <w:sz w:val="21"/>
          <w:szCs w:val="21"/>
        </w:rPr>
        <w:tab/>
        <w:t>Simon HU, Haj-Yehia A, Levi-Schaffer F. Role of reactive oxygen species (ROS) in apoptosis induction. Apoptosis. 2000;5(5):415-8.</w:t>
      </w:r>
    </w:p>
    <w:p w14:paraId="09A223F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66.</w:t>
      </w:r>
      <w:r w:rsidRPr="00F36CC7">
        <w:rPr>
          <w:rFonts w:ascii="Times New Roman" w:hAnsi="Times New Roman" w:cs="Times New Roman"/>
          <w:noProof/>
          <w:sz w:val="21"/>
          <w:szCs w:val="21"/>
        </w:rPr>
        <w:tab/>
        <w:t>Zhang J, Liu Z, Rasschaert J, Blero D, Deneubourg L, Schurmans S, et al. SHIP2 controls PtdIns(3,4,5)P(3) levels and PKB activity in response to oxidative stress. Cellular signalling. 2007;19(10):2194-200.</w:t>
      </w:r>
    </w:p>
    <w:p w14:paraId="2C49D07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67.</w:t>
      </w:r>
      <w:r w:rsidRPr="00F36CC7">
        <w:rPr>
          <w:rFonts w:ascii="Times New Roman" w:hAnsi="Times New Roman" w:cs="Times New Roman"/>
          <w:noProof/>
          <w:sz w:val="21"/>
          <w:szCs w:val="21"/>
        </w:rPr>
        <w:tab/>
        <w:t>Li J, Qi X, Wang X, Li W, Li Y, Zhou Q. PTEN Inhibition Facilitates Diabetic Corneal Epithelial Regeneration by Reactivating Akt Signaling Pathway. Translational vision science &amp; technology. 2020;9(3):5.</w:t>
      </w:r>
    </w:p>
    <w:p w14:paraId="26CFE92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68.</w:t>
      </w:r>
      <w:r w:rsidRPr="00F36CC7">
        <w:rPr>
          <w:rFonts w:ascii="Times New Roman" w:hAnsi="Times New Roman" w:cs="Times New Roman"/>
          <w:noProof/>
          <w:sz w:val="21"/>
          <w:szCs w:val="21"/>
        </w:rPr>
        <w:tab/>
        <w:t>Bae YS, Kang SW, Seo MS, Baines IC, Tekle E, Chock PB, et al. Epidermal growth factor (EGF)-induced generation of hydrogen peroxide. Role in EGF receptor-mediated tyrosine phosphorylation. J Biol Chem. 1997;272(1):217-21.</w:t>
      </w:r>
    </w:p>
    <w:p w14:paraId="113081A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69.</w:t>
      </w:r>
      <w:r w:rsidRPr="00F36CC7">
        <w:rPr>
          <w:rFonts w:ascii="Times New Roman" w:hAnsi="Times New Roman" w:cs="Times New Roman"/>
          <w:noProof/>
          <w:sz w:val="21"/>
          <w:szCs w:val="21"/>
        </w:rPr>
        <w:tab/>
        <w:t>Chen KC, Zhou Y, Xing K, Krysan K, Lou MF. Platelet derived growth factor (PDGF)-induced reactive oxygen species in the lens epithelial cells: the redox signaling. Experimental eye research. 2004;78(6):1057-67.</w:t>
      </w:r>
    </w:p>
    <w:p w14:paraId="0CEA4FD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70.</w:t>
      </w:r>
      <w:r w:rsidRPr="00F36CC7">
        <w:rPr>
          <w:rFonts w:ascii="Times New Roman" w:hAnsi="Times New Roman" w:cs="Times New Roman"/>
          <w:noProof/>
          <w:sz w:val="21"/>
          <w:szCs w:val="21"/>
        </w:rPr>
        <w:tab/>
        <w:t xml:space="preserve">Chen KC, Zhou Y, Zhang W, Lou MF. Control of PDGF-induced reactive oxygen species (ROS) </w:t>
      </w:r>
      <w:r w:rsidRPr="00F36CC7">
        <w:rPr>
          <w:rFonts w:ascii="Times New Roman" w:hAnsi="Times New Roman" w:cs="Times New Roman"/>
          <w:noProof/>
          <w:sz w:val="21"/>
          <w:szCs w:val="21"/>
        </w:rPr>
        <w:lastRenderedPageBreak/>
        <w:t>generation and signal transduction in human lens epithelial cells. Mol Vis. 2007;13:374-87.</w:t>
      </w:r>
    </w:p>
    <w:p w14:paraId="1404B33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71.</w:t>
      </w:r>
      <w:r w:rsidRPr="00F36CC7">
        <w:rPr>
          <w:rFonts w:ascii="Times New Roman" w:hAnsi="Times New Roman" w:cs="Times New Roman"/>
          <w:noProof/>
          <w:sz w:val="21"/>
          <w:szCs w:val="21"/>
        </w:rPr>
        <w:tab/>
        <w:t>Kabza M, Karolak JA, Rydzanicz M, Szcześniak MW, Nowak DM, Ginter-Matuszewska B, et al. Collagen synthesis disruption and downregulation of core elements of TGF-β, Hippo, and Wnt pathways in keratoconus corneas. European journal of human genetics : EJHG. 2017;25(5):582-90.</w:t>
      </w:r>
    </w:p>
    <w:p w14:paraId="135CC20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72.</w:t>
      </w:r>
      <w:r w:rsidRPr="00F36CC7">
        <w:rPr>
          <w:rFonts w:ascii="Times New Roman" w:hAnsi="Times New Roman" w:cs="Times New Roman"/>
          <w:noProof/>
          <w:sz w:val="21"/>
          <w:szCs w:val="21"/>
        </w:rPr>
        <w:tab/>
        <w:t>Khaled ML, Bykhovskaya Y, Yablonski SER, Li H, Drewry MD, Aboobakar IF, et al. Differential Expression of Coding and Long Noncoding RNAs in Keratoconus-Affected Corneas. Invest Ophthalmol Vis Sci. 2018;59(7):2717-28.</w:t>
      </w:r>
    </w:p>
    <w:p w14:paraId="688BD64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73.</w:t>
      </w:r>
      <w:r w:rsidRPr="00F36CC7">
        <w:rPr>
          <w:rFonts w:ascii="Times New Roman" w:hAnsi="Times New Roman" w:cs="Times New Roman"/>
          <w:noProof/>
          <w:sz w:val="21"/>
          <w:szCs w:val="21"/>
        </w:rPr>
        <w:tab/>
        <w:t>Liu Z, Chen D, Chen X, Bian F, Qin W, Gao N, et al. Trehalose Induces Autophagy Against Inflammation by Activating TFEB Signaling Pathway in Human Corneal Epithelial Cells Exposed to Hyperosmotic Stress. Invest Ophthalmol Vis Sci. 2020;61(10):26.</w:t>
      </w:r>
    </w:p>
    <w:p w14:paraId="57A8AF9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74.</w:t>
      </w:r>
      <w:r w:rsidRPr="00F36CC7">
        <w:rPr>
          <w:rFonts w:ascii="Times New Roman" w:hAnsi="Times New Roman" w:cs="Times New Roman"/>
          <w:noProof/>
          <w:sz w:val="21"/>
          <w:szCs w:val="21"/>
        </w:rPr>
        <w:tab/>
        <w:t>Lu J, Sheng M, Yao P, Ran C, Liu H, Chen L, et al. High Concentration of Glucose Increases Reactive Oxygen Species Generation and Apoptosis Induced by Endoplasmic Reticulum Stress Pathway in Rabbit Corneal Epithelial Cells. J Ophthalmol. 2018;2018:8234906.</w:t>
      </w:r>
    </w:p>
    <w:p w14:paraId="7D663F5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75.</w:t>
      </w:r>
      <w:r w:rsidRPr="00F36CC7">
        <w:rPr>
          <w:rFonts w:ascii="Times New Roman" w:hAnsi="Times New Roman" w:cs="Times New Roman"/>
          <w:noProof/>
          <w:sz w:val="21"/>
          <w:szCs w:val="21"/>
        </w:rPr>
        <w:tab/>
        <w:t>Wei S, Fan J, Zhang X, Jiang Y, Zeng S, Pan X, et al. Sirt1 attenuates diabetic keratopathy by regulating the endoplasmic reticulum stress pathway. Life Sci. 2021;265:118789.</w:t>
      </w:r>
    </w:p>
    <w:p w14:paraId="569847D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76.</w:t>
      </w:r>
      <w:r w:rsidRPr="00F36CC7">
        <w:rPr>
          <w:rFonts w:ascii="Times New Roman" w:hAnsi="Times New Roman" w:cs="Times New Roman"/>
          <w:noProof/>
          <w:sz w:val="21"/>
          <w:szCs w:val="21"/>
        </w:rPr>
        <w:tab/>
        <w:t>Wang Y, Zhao X, Shi D, Chen P, Yu Y, Yang L, et al. Overexpression of SIRT1 promotes high glucose-attenuated corneal epithelial wound healing via p53 regulation of the IGFBP3/IGF-1R/AKT pathway. Invest Ophthalmol Vis Sci. 2013;54(5):3806-14.</w:t>
      </w:r>
    </w:p>
    <w:p w14:paraId="2B07EFB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77.</w:t>
      </w:r>
      <w:r w:rsidRPr="00F36CC7">
        <w:rPr>
          <w:rFonts w:ascii="Times New Roman" w:hAnsi="Times New Roman" w:cs="Times New Roman"/>
          <w:noProof/>
          <w:sz w:val="21"/>
          <w:szCs w:val="21"/>
        </w:rPr>
        <w:tab/>
        <w:t>Li Y, Li J, Zhao C, Yang L, Qi X, Wang X, et al. Hyperglycemia-reduced NAD(+) biosynthesis impairs corneal epithelial wound healing in diabetic mice. Metabolism: clinical and experimental. 2021;114:154402.</w:t>
      </w:r>
    </w:p>
    <w:p w14:paraId="6A845B0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78.</w:t>
      </w:r>
      <w:r w:rsidRPr="00F36CC7">
        <w:rPr>
          <w:rFonts w:ascii="Times New Roman" w:hAnsi="Times New Roman" w:cs="Times New Roman"/>
          <w:noProof/>
          <w:sz w:val="21"/>
          <w:szCs w:val="21"/>
        </w:rPr>
        <w:tab/>
        <w:t>Korfi F, Javid H, Assaran Darban R, Hashemy SI. The Effect of SP/NK1R on the Expression and Activity of Catalase and Superoxide Dismutase in Glioblastoma Cancer Cells. Biochem Res Int. 2021;2021:6620708.</w:t>
      </w:r>
    </w:p>
    <w:p w14:paraId="72A51F0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79.</w:t>
      </w:r>
      <w:r w:rsidRPr="00F36CC7">
        <w:rPr>
          <w:rFonts w:ascii="Times New Roman" w:hAnsi="Times New Roman" w:cs="Times New Roman"/>
          <w:noProof/>
          <w:sz w:val="21"/>
          <w:szCs w:val="21"/>
        </w:rPr>
        <w:tab/>
        <w:t>Rosso M, Muñoz M, Berger M. The role of neurokinin-1 receptor in the microenvironment of inflammation and cancer. ScientificWorldJournal. 2012;2012:381434.</w:t>
      </w:r>
    </w:p>
    <w:p w14:paraId="43A4BA5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80.</w:t>
      </w:r>
      <w:r w:rsidRPr="00F36CC7">
        <w:rPr>
          <w:rFonts w:ascii="Times New Roman" w:hAnsi="Times New Roman" w:cs="Times New Roman"/>
          <w:noProof/>
          <w:sz w:val="21"/>
          <w:szCs w:val="21"/>
        </w:rPr>
        <w:tab/>
        <w:t>Qin L, Wang Z, Tao L, Wang Y. ER stress negatively regulates AKT/TSC/mTOR pathway to enhance autophagy. Autophagy. 2010;6(2):239-47.</w:t>
      </w:r>
    </w:p>
    <w:p w14:paraId="218E8C2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81.</w:t>
      </w:r>
      <w:r w:rsidRPr="00F36CC7">
        <w:rPr>
          <w:rFonts w:ascii="Times New Roman" w:hAnsi="Times New Roman" w:cs="Times New Roman"/>
          <w:noProof/>
          <w:sz w:val="21"/>
          <w:szCs w:val="21"/>
        </w:rPr>
        <w:tab/>
        <w:t>Jun AS, Meng H, Ramanan N, Matthaei M, Chakravarti S, Bonshek R, et al. An alpha 2 collagen VIII transgenic knock-in mouse model of Fuchs endothelial corneal dystrophy shows early endothelial cell unfolded protein response and apoptosis. Hum Mol Genet. 2012;21(2):384-93.</w:t>
      </w:r>
    </w:p>
    <w:p w14:paraId="74A486F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82.</w:t>
      </w:r>
      <w:r w:rsidRPr="00F36CC7">
        <w:rPr>
          <w:rFonts w:ascii="Times New Roman" w:hAnsi="Times New Roman" w:cs="Times New Roman"/>
          <w:noProof/>
          <w:sz w:val="21"/>
          <w:szCs w:val="21"/>
        </w:rPr>
        <w:tab/>
        <w:t>Pierre N, Barbé C, Gilson H, Deldicque L, Raymackers JM, Francaux M. Activation of ER stress by hydrogen peroxide in C2C12 myotubes. Biochem Biophys Res Commun. 2014;450(1):459-63.</w:t>
      </w:r>
    </w:p>
    <w:p w14:paraId="66DBA6A6"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83.</w:t>
      </w:r>
      <w:r w:rsidRPr="00F36CC7">
        <w:rPr>
          <w:rFonts w:ascii="Times New Roman" w:hAnsi="Times New Roman" w:cs="Times New Roman"/>
          <w:noProof/>
          <w:sz w:val="21"/>
          <w:szCs w:val="21"/>
        </w:rPr>
        <w:tab/>
        <w:t>Park SJ, Kim Y, Yang SM, Henderson MJ, Yang W, Lindahl M, et al. Discovery of endoplasmic reticulum calcium stabilizers to rescue ER-stressed podocytes in nephrotic syndrome. Proc Natl Acad Sci U S A. 2019;116(28):14154-63.</w:t>
      </w:r>
    </w:p>
    <w:p w14:paraId="1395093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84.</w:t>
      </w:r>
      <w:r w:rsidRPr="00F36CC7">
        <w:rPr>
          <w:rFonts w:ascii="Times New Roman" w:hAnsi="Times New Roman" w:cs="Times New Roman"/>
          <w:noProof/>
          <w:sz w:val="21"/>
          <w:szCs w:val="21"/>
        </w:rPr>
        <w:tab/>
        <w:t>Yan Y, Rato C, Rohland L, Preissler S, Ron D. MANF antagonizes nucleotide exchange by the endoplasmic reticulum chaperone BiP. Nat Commun. 2019;10(1):541.</w:t>
      </w:r>
    </w:p>
    <w:p w14:paraId="578E834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85.</w:t>
      </w:r>
      <w:r w:rsidRPr="00F36CC7">
        <w:rPr>
          <w:rFonts w:ascii="Times New Roman" w:hAnsi="Times New Roman" w:cs="Times New Roman"/>
          <w:noProof/>
          <w:sz w:val="21"/>
          <w:szCs w:val="21"/>
        </w:rPr>
        <w:tab/>
        <w:t>Wang X, Li W, Zhou Q, Li J, Wang X, Zhang J, et al. MANF Promotes Diabetic Corneal Epithelial Wound Healing and Nerve Regeneration by Attenuating Hyperglycemia-Induced Endoplasmic Reticulum Stress. Diabetes. 2020;69(6):1264-78.</w:t>
      </w:r>
    </w:p>
    <w:p w14:paraId="11500D66"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86.</w:t>
      </w:r>
      <w:r w:rsidRPr="00F36CC7">
        <w:rPr>
          <w:rFonts w:ascii="Times New Roman" w:hAnsi="Times New Roman" w:cs="Times New Roman"/>
          <w:noProof/>
          <w:sz w:val="21"/>
          <w:szCs w:val="21"/>
        </w:rPr>
        <w:tab/>
        <w:t>Saghizadeh M, Kramerov AA, Yu FS, Castro MG, Ljubimov AV. Normalization of wound healing and diabetic markers in organ cultured human diabetic corneas by adenoviral delivery of c-</w:t>
      </w:r>
      <w:r w:rsidRPr="00F36CC7">
        <w:rPr>
          <w:rFonts w:ascii="Times New Roman" w:hAnsi="Times New Roman" w:cs="Times New Roman"/>
          <w:noProof/>
          <w:sz w:val="21"/>
          <w:szCs w:val="21"/>
        </w:rPr>
        <w:lastRenderedPageBreak/>
        <w:t>Met gene. Invest Ophthalmol Vis Sci. 2010;51(4):1970-80.</w:t>
      </w:r>
    </w:p>
    <w:p w14:paraId="471EAF2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87.</w:t>
      </w:r>
      <w:r w:rsidRPr="00F36CC7">
        <w:rPr>
          <w:rFonts w:ascii="Times New Roman" w:hAnsi="Times New Roman" w:cs="Times New Roman"/>
          <w:noProof/>
          <w:sz w:val="21"/>
          <w:szCs w:val="21"/>
        </w:rPr>
        <w:tab/>
        <w:t>Spix JK, Chay EY, Block ER, Klarlund JK. Hepatocyte growth factor induces epithelial cell motility through transactivation of the epidermal growth factor receptor. Exp Cell Res. 2007;313(15):3319-25.</w:t>
      </w:r>
    </w:p>
    <w:p w14:paraId="7F329F1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88.</w:t>
      </w:r>
      <w:r w:rsidRPr="00F36CC7">
        <w:rPr>
          <w:rFonts w:ascii="Times New Roman" w:hAnsi="Times New Roman" w:cs="Times New Roman"/>
          <w:noProof/>
          <w:sz w:val="21"/>
          <w:szCs w:val="21"/>
        </w:rPr>
        <w:tab/>
        <w:t>Xu KP, Yu FS. Cross talk between c-Met and epidermal growth factor receptor during retinal pigment epithelial wound healing. Invest Ophthalmol Vis Sci. 2007;48(5):2242-8.</w:t>
      </w:r>
    </w:p>
    <w:p w14:paraId="540D53F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89.</w:t>
      </w:r>
      <w:r w:rsidRPr="00F36CC7">
        <w:rPr>
          <w:rFonts w:ascii="Times New Roman" w:hAnsi="Times New Roman" w:cs="Times New Roman"/>
          <w:noProof/>
          <w:sz w:val="21"/>
          <w:szCs w:val="21"/>
        </w:rPr>
        <w:tab/>
        <w:t>Saghizadeh M, Epifantseva I, Hemmati DM, Ghiam CA, Brunken WJ, Ljubimov AV. Enhanced wound healing, kinase and stem cell marker expression in diabetic organ-cultured human corneas upon MMP-10 and cathepsin F gene silencing. Invest Ophthalmol Vis Sci. 2013;54(13):8172-80.</w:t>
      </w:r>
    </w:p>
    <w:p w14:paraId="1E5A6606"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90.</w:t>
      </w:r>
      <w:r w:rsidRPr="00F36CC7">
        <w:rPr>
          <w:rFonts w:ascii="Times New Roman" w:hAnsi="Times New Roman" w:cs="Times New Roman"/>
          <w:noProof/>
          <w:sz w:val="21"/>
          <w:szCs w:val="21"/>
        </w:rPr>
        <w:tab/>
        <w:t>Saghizadeh M, Kramerov AA, Yaghoobzadeh Y, Hu J, Ljubimova JY, Black KL, et al. Adenovirus-driven overexpression of proteinases in organ-cultured normal human corneas leads to diabetic-like changes. Brain research bulletin. 2010;81(2-3):262-72.</w:t>
      </w:r>
    </w:p>
    <w:p w14:paraId="0D08B85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91.</w:t>
      </w:r>
      <w:r w:rsidRPr="00F36CC7">
        <w:rPr>
          <w:rFonts w:ascii="Times New Roman" w:hAnsi="Times New Roman" w:cs="Times New Roman"/>
          <w:noProof/>
          <w:sz w:val="21"/>
          <w:szCs w:val="21"/>
        </w:rPr>
        <w:tab/>
        <w:t>Edick MJ, Tesfay L, Lamb LE, Knudsen BS, Miranti CK. Inhibition of integrin-mediated crosstalk with epidermal growth factor receptor/Erk or Src signaling pathways in autophagic prostate epithelial cells induces caspase-independent death. Mol Biol Cell. 2007;18(7):2481-90.</w:t>
      </w:r>
    </w:p>
    <w:p w14:paraId="2295ACD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92.</w:t>
      </w:r>
      <w:r w:rsidRPr="00F36CC7">
        <w:rPr>
          <w:rFonts w:ascii="Times New Roman" w:hAnsi="Times New Roman" w:cs="Times New Roman"/>
          <w:noProof/>
          <w:sz w:val="21"/>
          <w:szCs w:val="21"/>
        </w:rPr>
        <w:tab/>
        <w:t>Cheng CY, Hsieh HL, Hsiao LD, Yang CM. PI3-K/Akt/JNK/NF-κB is essential for MMP-9 expression and outgrowth in human limbal epithelial cells on intact amniotic membrane. Stem cell research. 2012;9(1):9-23.</w:t>
      </w:r>
    </w:p>
    <w:p w14:paraId="6315756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93.</w:t>
      </w:r>
      <w:r w:rsidRPr="00F36CC7">
        <w:rPr>
          <w:rFonts w:ascii="Times New Roman" w:hAnsi="Times New Roman" w:cs="Times New Roman"/>
          <w:noProof/>
          <w:sz w:val="21"/>
          <w:szCs w:val="21"/>
        </w:rPr>
        <w:tab/>
        <w:t>Tokumaru S, Sayama K, Shirakata Y, Komatsuzawa H, Ouhara K, Hanakawa Y, et al. Induction of keratinocyte migration via transactivation of the epidermal growth factor receptor by the antimicrobial peptide LL-37. Journal of immunology (Baltimore, Md : 1950). 2005;175(7):4662-8.</w:t>
      </w:r>
    </w:p>
    <w:p w14:paraId="49459F1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94.</w:t>
      </w:r>
      <w:r w:rsidRPr="00F36CC7">
        <w:rPr>
          <w:rFonts w:ascii="Times New Roman" w:hAnsi="Times New Roman" w:cs="Times New Roman"/>
          <w:noProof/>
          <w:sz w:val="21"/>
          <w:szCs w:val="21"/>
        </w:rPr>
        <w:tab/>
        <w:t>Yin J, Yu F-SX. LL-37 via EGFR Transactivation to Promote High Glucose–Attenuated Epithelial Wound Healing in Organ-Cultured Corneas. Investigative Ophthalmology &amp; Visual Science. 2010;51(4):1891-7.</w:t>
      </w:r>
    </w:p>
    <w:p w14:paraId="0EF56225"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95.</w:t>
      </w:r>
      <w:r w:rsidRPr="00F36CC7">
        <w:rPr>
          <w:rFonts w:ascii="Times New Roman" w:hAnsi="Times New Roman" w:cs="Times New Roman"/>
          <w:noProof/>
          <w:sz w:val="21"/>
          <w:szCs w:val="21"/>
        </w:rPr>
        <w:tab/>
        <w:t>Baudouin C, Aragona P, Messmer EM, Tomlinson A, Calonge M, Boboridis KG, et al. Role of hyperosmolarity in the pathogenesis and management of dry eye disease: proceedings of the OCEAN group meeting. The ocular surface. 2013;11(4):246-58.</w:t>
      </w:r>
    </w:p>
    <w:p w14:paraId="76C2D3A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96.</w:t>
      </w:r>
      <w:r w:rsidRPr="00F36CC7">
        <w:rPr>
          <w:rFonts w:ascii="Times New Roman" w:hAnsi="Times New Roman" w:cs="Times New Roman"/>
          <w:noProof/>
          <w:sz w:val="21"/>
          <w:szCs w:val="21"/>
        </w:rPr>
        <w:tab/>
        <w:t>Li H, Li J, Hou C, Li J, Peng H, Wang Q. The effect of astaxanthin on inflammation in hyperosmolarity of experimental dry eye model in vitro and in vivo. Exp Eye Res. 2020;197:108113.</w:t>
      </w:r>
    </w:p>
    <w:p w14:paraId="2B3F4A1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97.</w:t>
      </w:r>
      <w:r w:rsidRPr="00F36CC7">
        <w:rPr>
          <w:rFonts w:ascii="Times New Roman" w:hAnsi="Times New Roman" w:cs="Times New Roman"/>
          <w:noProof/>
          <w:sz w:val="21"/>
          <w:szCs w:val="21"/>
        </w:rPr>
        <w:tab/>
        <w:t>Erlandsson Harris H, Andersson U. Mini-review: The nuclear protein HMGB1 as a proinflammatory mediator. Eur J Immunol. 2004;34(6):1503-12.</w:t>
      </w:r>
    </w:p>
    <w:p w14:paraId="360A680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98.</w:t>
      </w:r>
      <w:r w:rsidRPr="00F36CC7">
        <w:rPr>
          <w:rFonts w:ascii="Times New Roman" w:hAnsi="Times New Roman" w:cs="Times New Roman"/>
          <w:noProof/>
          <w:sz w:val="21"/>
          <w:szCs w:val="21"/>
        </w:rPr>
        <w:tab/>
        <w:t>Hwang SB, Park JH, Kang SS, Kang DH, Lee JH, Oh SJ, et al. Protective Effects of Cyclosporine A Emulsion Versus Cyclosporine A Cationic Emulsion Against Desiccation Stress in Human Corneal Epithelial Cells. Cornea. 2020;39(4):508-13.</w:t>
      </w:r>
    </w:p>
    <w:p w14:paraId="484621F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99.</w:t>
      </w:r>
      <w:r w:rsidRPr="00F36CC7">
        <w:rPr>
          <w:rFonts w:ascii="Times New Roman" w:hAnsi="Times New Roman" w:cs="Times New Roman"/>
          <w:noProof/>
          <w:sz w:val="21"/>
          <w:szCs w:val="21"/>
        </w:rPr>
        <w:tab/>
        <w:t>Daull P, Feraille L, Barabino S, Cimbolini N, Antonelli S, Mauro V, et al. Efficacy of a new topical cationic emulsion of cyclosporine A on dry eye clinical signs in an experimental mouse model of dry eye. Experimental eye research. 2016;153:159-64.</w:t>
      </w:r>
    </w:p>
    <w:p w14:paraId="45930FB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100.</w:t>
      </w:r>
      <w:r w:rsidRPr="00F36CC7">
        <w:rPr>
          <w:rFonts w:ascii="Times New Roman" w:hAnsi="Times New Roman" w:cs="Times New Roman"/>
          <w:noProof/>
          <w:sz w:val="21"/>
          <w:szCs w:val="21"/>
        </w:rPr>
        <w:tab/>
        <w:t>Daull P, Barabino S, Feraille L, Kessal K, Docquier M, Parsadaniantz SM, et al. Modulation of Inflammation-Related Genes in the Cornea of a Mouse Model of Dry Eye upon Treatment with Cyclosporine Eye Drops. Current eye research. 2019;44(5):476-85.</w:t>
      </w:r>
    </w:p>
    <w:p w14:paraId="35CF0F1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101.</w:t>
      </w:r>
      <w:r w:rsidRPr="00F36CC7">
        <w:rPr>
          <w:rFonts w:ascii="Times New Roman" w:hAnsi="Times New Roman" w:cs="Times New Roman"/>
          <w:noProof/>
          <w:sz w:val="21"/>
          <w:szCs w:val="21"/>
        </w:rPr>
        <w:tab/>
        <w:t>Liu Z, Chen D, Chen X, Bian F, Gao N, Li J, et al. Autophagy Activation Protects Ocular Surface from Inflammation in a Dry Eye Model In Vitro. Int J Mol Sci. 2020;21(23).</w:t>
      </w:r>
    </w:p>
    <w:p w14:paraId="63839C62"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102.</w:t>
      </w:r>
      <w:r w:rsidRPr="00F36CC7">
        <w:rPr>
          <w:rFonts w:ascii="Times New Roman" w:hAnsi="Times New Roman" w:cs="Times New Roman"/>
          <w:noProof/>
          <w:sz w:val="21"/>
          <w:szCs w:val="21"/>
        </w:rPr>
        <w:tab/>
        <w:t>Elliott EI, Sutterwala FS. Initiation and perpetuation of NLRP3 inflammasome activation and assembly. Immunol Rev. 2015;265(1):35-52.</w:t>
      </w:r>
    </w:p>
    <w:p w14:paraId="4B133511"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lastRenderedPageBreak/>
        <w:t>103.</w:t>
      </w:r>
      <w:r w:rsidRPr="00F36CC7">
        <w:rPr>
          <w:rFonts w:ascii="Times New Roman" w:hAnsi="Times New Roman" w:cs="Times New Roman"/>
          <w:noProof/>
          <w:sz w:val="21"/>
          <w:szCs w:val="21"/>
        </w:rPr>
        <w:tab/>
        <w:t>Zhong Z, Umemura A, Sanchez-Lopez E, Liang S, Shalapour S, Wong J, et al. NF-κB Restricts Inflammasome Activation via Elimination of Damaged Mitochondria. Cell. 2016;164(5):896-910.</w:t>
      </w:r>
    </w:p>
    <w:p w14:paraId="3AE7A25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104.</w:t>
      </w:r>
      <w:r w:rsidRPr="00F36CC7">
        <w:rPr>
          <w:rFonts w:ascii="Times New Roman" w:hAnsi="Times New Roman" w:cs="Times New Roman"/>
          <w:noProof/>
          <w:sz w:val="21"/>
          <w:szCs w:val="21"/>
        </w:rPr>
        <w:tab/>
        <w:t>Dakhil TAB, Stone DU, Gritz DC. Adjunctive Therapies for Bacterial Keratitis. Middle East Afr J Ophthalmol. 2017;24(1):11-7.</w:t>
      </w:r>
    </w:p>
    <w:p w14:paraId="634CDE2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105.</w:t>
      </w:r>
      <w:r w:rsidRPr="00F36CC7">
        <w:rPr>
          <w:rFonts w:ascii="Times New Roman" w:hAnsi="Times New Roman" w:cs="Times New Roman"/>
          <w:noProof/>
          <w:sz w:val="21"/>
          <w:szCs w:val="21"/>
        </w:rPr>
        <w:tab/>
        <w:t>Huang H, Li H, Chen X, Yang Y, Li X, Li W, et al. HMGA2, a driver of inflammation, is associated with hypermethylation in acute liver injury. Toxicol Appl Pharmacol. 2017;328:34-45.</w:t>
      </w:r>
    </w:p>
    <w:p w14:paraId="16F2FDC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106.</w:t>
      </w:r>
      <w:r w:rsidRPr="00F36CC7">
        <w:rPr>
          <w:rFonts w:ascii="Times New Roman" w:hAnsi="Times New Roman" w:cs="Times New Roman"/>
          <w:noProof/>
          <w:sz w:val="21"/>
          <w:szCs w:val="21"/>
        </w:rPr>
        <w:tab/>
        <w:t>Hao C, Zhou Z, Peng C, Gen WX, Ge Z. Inhibitory Effect of Extracellular Polysaccharide EPS-II from Pseudoalteromonas on Candida adhesion to Cornea in vitro. Biomedical and Environmental Sciences. 2012;25(2):210-5.</w:t>
      </w:r>
    </w:p>
    <w:p w14:paraId="02FF321C"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107.</w:t>
      </w:r>
      <w:r w:rsidRPr="00F36CC7">
        <w:rPr>
          <w:rFonts w:ascii="Times New Roman" w:hAnsi="Times New Roman" w:cs="Times New Roman"/>
          <w:noProof/>
          <w:sz w:val="21"/>
          <w:szCs w:val="21"/>
        </w:rPr>
        <w:tab/>
        <w:t>Kernacki KA, Barrett RP, Hobden JA, Hazlett LD. Macrophage inflammatory protein-2 is a mediator of polymorphonuclear neutrophil influx in ocular bacterial infection. Journal of immunology (Baltimore, Md : 1950). 2000;164(2):1037-45.</w:t>
      </w:r>
    </w:p>
    <w:p w14:paraId="13321C17"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108.</w:t>
      </w:r>
      <w:r w:rsidRPr="00F36CC7">
        <w:rPr>
          <w:rFonts w:ascii="Times New Roman" w:hAnsi="Times New Roman" w:cs="Times New Roman"/>
          <w:noProof/>
          <w:sz w:val="21"/>
          <w:szCs w:val="21"/>
        </w:rPr>
        <w:tab/>
        <w:t>Jaishankar D, Yakoub AM, Yadavalli T, Agelidis A, Thakkar N, Hadigal S, et al. An off-target effect of BX795 blocks herpes simplex virus type 1 infection of the eye. Sci Transl Med. 2018;10(428).</w:t>
      </w:r>
    </w:p>
    <w:p w14:paraId="046C4F8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109.</w:t>
      </w:r>
      <w:r w:rsidRPr="00F36CC7">
        <w:rPr>
          <w:rFonts w:ascii="Times New Roman" w:hAnsi="Times New Roman" w:cs="Times New Roman"/>
          <w:noProof/>
          <w:sz w:val="21"/>
          <w:szCs w:val="21"/>
        </w:rPr>
        <w:tab/>
        <w:t>Suryawanshi RK, Koujah L, Patil CD, Ames JM, Agelidis A, Yadavalli T, et al. Bacterial Pigment Prodigiosin Demonstrates a Unique Antiherpesvirus Activity That Is Mediated through Inhibition of Prosurvival Signal Transducers. J Virol. 2020;94(13).</w:t>
      </w:r>
    </w:p>
    <w:p w14:paraId="4A33251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110.</w:t>
      </w:r>
      <w:r w:rsidRPr="00F36CC7">
        <w:rPr>
          <w:rFonts w:ascii="Times New Roman" w:hAnsi="Times New Roman" w:cs="Times New Roman"/>
          <w:noProof/>
          <w:sz w:val="21"/>
          <w:szCs w:val="21"/>
        </w:rPr>
        <w:tab/>
        <w:t>Qin X, Jiang B, Zhang Y. 4E-BP1, a multifactor regulated multifunctional protein. Cell Cycle. 2016;15(6):781-6.</w:t>
      </w:r>
    </w:p>
    <w:p w14:paraId="2721B3CD"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111.</w:t>
      </w:r>
      <w:r w:rsidRPr="00F36CC7">
        <w:rPr>
          <w:rFonts w:ascii="Times New Roman" w:hAnsi="Times New Roman" w:cs="Times New Roman"/>
          <w:noProof/>
          <w:sz w:val="21"/>
          <w:szCs w:val="21"/>
        </w:rPr>
        <w:tab/>
        <w:t>Yadavalli T, Suryawanshi R, Ali M, Iqbal A, Koganti R, Ames J, et al. Prior inhibition of AKT phosphorylation by BX795 can define a safer strategy to prevent herpes simplex virus-1 infection of the eye. The ocular surface. 2020;18(2):221-30.</w:t>
      </w:r>
    </w:p>
    <w:p w14:paraId="52FB82E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112.</w:t>
      </w:r>
      <w:r w:rsidRPr="00F36CC7">
        <w:rPr>
          <w:rFonts w:ascii="Times New Roman" w:hAnsi="Times New Roman" w:cs="Times New Roman"/>
          <w:noProof/>
          <w:sz w:val="21"/>
          <w:szCs w:val="21"/>
        </w:rPr>
        <w:tab/>
        <w:t>Goswami DG, Tewari-Singh N, Dhar D, Kumar D, Agarwal C, Ammar DA, et al. Nitrogen mustard-induced corneal injury involves DNA damage and pathways related to inflammation, epithelial-stromal separation and neovascularization. Cornea. 2016;35(2):257-66.</w:t>
      </w:r>
    </w:p>
    <w:p w14:paraId="15D9EA6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113.</w:t>
      </w:r>
      <w:r w:rsidRPr="00F36CC7">
        <w:rPr>
          <w:rFonts w:ascii="Times New Roman" w:hAnsi="Times New Roman" w:cs="Times New Roman"/>
          <w:noProof/>
          <w:sz w:val="21"/>
          <w:szCs w:val="21"/>
        </w:rPr>
        <w:tab/>
        <w:t>Xu K-P, Yin J, Yu F-SX. Lysophosphatidic Acid Promoting Corneal Epithelial Wound Healing by Transactivation of Epidermal Growth Factor Receptor. Investigative Ophthalmology &amp; Visual Science. 2007;48(2):636-43.</w:t>
      </w:r>
    </w:p>
    <w:p w14:paraId="64024F6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114.</w:t>
      </w:r>
      <w:r w:rsidRPr="00F36CC7">
        <w:rPr>
          <w:rFonts w:ascii="Times New Roman" w:hAnsi="Times New Roman" w:cs="Times New Roman"/>
          <w:noProof/>
          <w:sz w:val="21"/>
          <w:szCs w:val="21"/>
        </w:rPr>
        <w:tab/>
        <w:t>Zhang Z, Liu Z, Meier KE. Lysophosphatidic acid as a mediator for proinflammatory agonists in a human corneal epithelial cell line. American Journal of Physiology-Cell Physiology. 2006;291(5):C1089-C98.</w:t>
      </w:r>
    </w:p>
    <w:p w14:paraId="47AC0D89"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115.</w:t>
      </w:r>
      <w:r w:rsidRPr="00F36CC7">
        <w:rPr>
          <w:rFonts w:ascii="Times New Roman" w:hAnsi="Times New Roman" w:cs="Times New Roman"/>
          <w:noProof/>
          <w:sz w:val="21"/>
          <w:szCs w:val="21"/>
        </w:rPr>
        <w:tab/>
        <w:t>Lin CF, Chen CL, Chiang CW, Jan MS, Huang WC, Lin YS. GSK-3beta acts downstream of PP2A and the PI 3-kinase-Akt pathway, and upstream of caspase-2 in ceramide-induced mitochondrial apoptosis. J Cell Sci. 2007;120(Pt 16):2935-43.</w:t>
      </w:r>
    </w:p>
    <w:p w14:paraId="2E901DA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116.</w:t>
      </w:r>
      <w:r w:rsidRPr="00F36CC7">
        <w:rPr>
          <w:rFonts w:ascii="Times New Roman" w:hAnsi="Times New Roman" w:cs="Times New Roman"/>
          <w:noProof/>
          <w:sz w:val="21"/>
          <w:szCs w:val="21"/>
        </w:rPr>
        <w:tab/>
        <w:t>Xu K, Yu FS. Impaired epithelial wound healing and EGFR signaling pathways in the corneas of diabetic rats. Invest Ophthalmol Vis Sci. 2011;52(6):3301-8.</w:t>
      </w:r>
    </w:p>
    <w:p w14:paraId="69CF7F0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117.</w:t>
      </w:r>
      <w:r w:rsidRPr="00F36CC7">
        <w:rPr>
          <w:rFonts w:ascii="Times New Roman" w:hAnsi="Times New Roman" w:cs="Times New Roman"/>
          <w:noProof/>
          <w:sz w:val="21"/>
          <w:szCs w:val="21"/>
        </w:rPr>
        <w:tab/>
        <w:t>Blobel CP. ADAMs: key components in EGFR signalling and development. Nature reviews Molecular cell biology. 2005;6(1):32-43.</w:t>
      </w:r>
    </w:p>
    <w:p w14:paraId="584992E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118.</w:t>
      </w:r>
      <w:r w:rsidRPr="00F36CC7">
        <w:rPr>
          <w:rFonts w:ascii="Times New Roman" w:hAnsi="Times New Roman" w:cs="Times New Roman"/>
          <w:noProof/>
          <w:sz w:val="21"/>
          <w:szCs w:val="21"/>
        </w:rPr>
        <w:tab/>
        <w:t>Yin J, Yu FS. ERK1/2 mediate wounding- and G-protein-coupled receptor ligands-induced EGFR activation via regulating ADAM17 and HB-EGF shedding. Invest Ophthalmol Vis Sci. 2009;50(1):132-9.</w:t>
      </w:r>
    </w:p>
    <w:p w14:paraId="199478F7"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119.</w:t>
      </w:r>
      <w:r w:rsidRPr="00F36CC7">
        <w:rPr>
          <w:rFonts w:ascii="Times New Roman" w:hAnsi="Times New Roman" w:cs="Times New Roman"/>
          <w:noProof/>
          <w:sz w:val="21"/>
          <w:szCs w:val="21"/>
        </w:rPr>
        <w:tab/>
        <w:t xml:space="preserve">Taylor SR, Markesbery MG, Harding PA. Heparin-binding epidermal growth factor-like growth factor (HB-EGF) and proteolytic processing by a disintegrin and metalloproteinases </w:t>
      </w:r>
      <w:r w:rsidRPr="00F36CC7">
        <w:rPr>
          <w:rFonts w:ascii="Times New Roman" w:hAnsi="Times New Roman" w:cs="Times New Roman"/>
          <w:noProof/>
          <w:sz w:val="21"/>
          <w:szCs w:val="21"/>
        </w:rPr>
        <w:lastRenderedPageBreak/>
        <w:t>(ADAM): a regulator of several pathways. Semin Cell Dev Biol. 2014;28:22-30.</w:t>
      </w:r>
    </w:p>
    <w:p w14:paraId="6FF14A2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120.</w:t>
      </w:r>
      <w:r w:rsidRPr="00F36CC7">
        <w:rPr>
          <w:rFonts w:ascii="Times New Roman" w:hAnsi="Times New Roman" w:cs="Times New Roman"/>
          <w:noProof/>
          <w:sz w:val="21"/>
          <w:szCs w:val="21"/>
        </w:rPr>
        <w:tab/>
        <w:t>Xu KP, Yin J, Yu FS. SRC-family tyrosine kinases in wound- and ligand-induced epidermal growth factor receptor activation in human corneal epithelial cells. Invest Ophthalmol Vis Sci. 2006;47(7):2832-9.</w:t>
      </w:r>
    </w:p>
    <w:p w14:paraId="16B7DE98"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121.</w:t>
      </w:r>
      <w:r w:rsidRPr="00F36CC7">
        <w:rPr>
          <w:rFonts w:ascii="Times New Roman" w:hAnsi="Times New Roman" w:cs="Times New Roman"/>
          <w:noProof/>
          <w:sz w:val="21"/>
          <w:szCs w:val="21"/>
        </w:rPr>
        <w:tab/>
        <w:t>Luttrell DK, Luttrell LM. Not so strange bedfellows: G-protein-coupled receptors and Src family kinases. Oncogene. 2004;23(48):7969-78.</w:t>
      </w:r>
    </w:p>
    <w:p w14:paraId="26E327E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122.</w:t>
      </w:r>
      <w:r w:rsidRPr="00F36CC7">
        <w:rPr>
          <w:rFonts w:ascii="Times New Roman" w:hAnsi="Times New Roman" w:cs="Times New Roman"/>
          <w:noProof/>
          <w:sz w:val="21"/>
          <w:szCs w:val="21"/>
        </w:rPr>
        <w:tab/>
        <w:t>Li W, Wang X, Cheng J, Li J, Wang Q, Zhou Q, et al. Leucine-rich α-2-glycoprotein-1 promotes diabetic corneal epithelial wound healing and nerve regeneration via regulation of matrix metalloproteinases. Exp Eye Res. 2020;196:108060.</w:t>
      </w:r>
    </w:p>
    <w:p w14:paraId="737E11EB"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123.</w:t>
      </w:r>
      <w:r w:rsidRPr="00F36CC7">
        <w:rPr>
          <w:rFonts w:ascii="Times New Roman" w:hAnsi="Times New Roman" w:cs="Times New Roman"/>
          <w:noProof/>
          <w:sz w:val="21"/>
          <w:szCs w:val="21"/>
        </w:rPr>
        <w:tab/>
        <w:t>Cheng CC, Wang DY, Kao MH, Chen JK. The growth-promoting effect of KGF on limbal epithelial cells is mediated by upregulation of DeltaNp63alpha through the p38 pathway. J Cell Sci. 2009;122(Pt 24):4473-80.</w:t>
      </w:r>
    </w:p>
    <w:p w14:paraId="46825823"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124.</w:t>
      </w:r>
      <w:r w:rsidRPr="00F36CC7">
        <w:rPr>
          <w:rFonts w:ascii="Times New Roman" w:hAnsi="Times New Roman" w:cs="Times New Roman"/>
          <w:noProof/>
          <w:sz w:val="21"/>
          <w:szCs w:val="21"/>
        </w:rPr>
        <w:tab/>
        <w:t>Maeng YS, Lee GH, Lee B, Choi SI, Kim TI, Kim EK. Role of TGFBIp in Wound Healing and Mucin Expression in Corneal Epithelial Cells. Yonsei Med J. 2017;58(2):423-31.</w:t>
      </w:r>
    </w:p>
    <w:p w14:paraId="117C029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125.</w:t>
      </w:r>
      <w:r w:rsidRPr="00F36CC7">
        <w:rPr>
          <w:rFonts w:ascii="Times New Roman" w:hAnsi="Times New Roman" w:cs="Times New Roman"/>
          <w:noProof/>
          <w:sz w:val="21"/>
          <w:szCs w:val="21"/>
        </w:rPr>
        <w:tab/>
        <w:t>Yanai R, Yamada N, Inui M, Nishida T. Correlation of proliferative and anti-apoptotic effects of HGF, insulin, IGF-1, IGF-2, and EGF in SV40-transformed human corneal epithelial cells. Experimental eye research. 2006;83(1):76-83.</w:t>
      </w:r>
    </w:p>
    <w:p w14:paraId="5D7D4150"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126.</w:t>
      </w:r>
      <w:r w:rsidRPr="00F36CC7">
        <w:rPr>
          <w:rFonts w:ascii="Times New Roman" w:hAnsi="Times New Roman" w:cs="Times New Roman"/>
          <w:noProof/>
          <w:sz w:val="21"/>
          <w:szCs w:val="21"/>
        </w:rPr>
        <w:tab/>
        <w:t>Tackett BC, Sun H, Mei Y, Maynard JP, Cheruvu S, Mani A, et al. P2Y2 purinergic receptor activation is essential for efficient hepatocyte proliferation in response to partial hepatectomy. Am J Physiol Gastrointest Liver Physiol. 2014;307(11):G1073-87.</w:t>
      </w:r>
    </w:p>
    <w:p w14:paraId="293F72B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127.</w:t>
      </w:r>
      <w:r w:rsidRPr="00F36CC7">
        <w:rPr>
          <w:rFonts w:ascii="Times New Roman" w:hAnsi="Times New Roman" w:cs="Times New Roman"/>
          <w:noProof/>
          <w:sz w:val="21"/>
          <w:szCs w:val="21"/>
        </w:rPr>
        <w:tab/>
        <w:t>Wen L, Zhang X, Zhang J, Chen S, Ma Y, Hu J, et al. Paxillin knockdown suppresses metastasis and epithelial</w:t>
      </w:r>
      <w:r w:rsidRPr="00F36CC7">
        <w:rPr>
          <w:rFonts w:ascii="Times New Roman" w:eastAsia="MS Gothic" w:hAnsi="Times New Roman" w:cs="Times New Roman"/>
          <w:noProof/>
          <w:sz w:val="21"/>
          <w:szCs w:val="21"/>
        </w:rPr>
        <w:t>‑</w:t>
      </w:r>
      <w:r w:rsidRPr="00F36CC7">
        <w:rPr>
          <w:rFonts w:ascii="Times New Roman" w:hAnsi="Times New Roman" w:cs="Times New Roman"/>
          <w:noProof/>
          <w:sz w:val="21"/>
          <w:szCs w:val="21"/>
        </w:rPr>
        <w:t>mesenchymal transition in colorectal cancer via the ERK signalling pathway. Oncol Rep. 2020;44(3):1105-15.</w:t>
      </w:r>
    </w:p>
    <w:p w14:paraId="022038AA"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128.</w:t>
      </w:r>
      <w:r w:rsidRPr="00F36CC7">
        <w:rPr>
          <w:rFonts w:ascii="Times New Roman" w:hAnsi="Times New Roman" w:cs="Times New Roman"/>
          <w:noProof/>
          <w:sz w:val="21"/>
          <w:szCs w:val="21"/>
        </w:rPr>
        <w:tab/>
        <w:t>Wu YC, Buckner BR, Zhu M, Cavanagh HD, Robertson DM. Elevated IGFBP3 levels in diabetic tears: a negative regulator of IGF-1 signaling in the corneal epithelium. The ocular surface. 2012;10(2):100-7.</w:t>
      </w:r>
    </w:p>
    <w:p w14:paraId="292A79FF"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129.</w:t>
      </w:r>
      <w:r w:rsidRPr="00F36CC7">
        <w:rPr>
          <w:rFonts w:ascii="Times New Roman" w:hAnsi="Times New Roman" w:cs="Times New Roman"/>
          <w:noProof/>
          <w:sz w:val="21"/>
          <w:szCs w:val="21"/>
        </w:rPr>
        <w:tab/>
        <w:t>Shanley LJ, McCaig CD, Forrester JV, Zhao M. Insulin, not leptin, promotes in vitro cell migration to heal monolayer wounds in human corneal epithelium. Invest Ophthalmol Vis Sci. 2004;45(4):1088-94.</w:t>
      </w:r>
    </w:p>
    <w:p w14:paraId="5D96F3DE"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130.</w:t>
      </w:r>
      <w:r w:rsidRPr="00F36CC7">
        <w:rPr>
          <w:rFonts w:ascii="Times New Roman" w:hAnsi="Times New Roman" w:cs="Times New Roman"/>
          <w:noProof/>
          <w:sz w:val="21"/>
          <w:szCs w:val="21"/>
        </w:rPr>
        <w:tab/>
        <w:t>Nam SM, Maeng YS. Wound Healing and Mucin Gene Expression of Human Corneal Epithelial Cells Treated with Deproteinized Extract of Calf Blood. Curr Eye Res. 2019;44(11):1181-8.</w:t>
      </w:r>
    </w:p>
    <w:p w14:paraId="03168064" w14:textId="77777777" w:rsidR="001514EF" w:rsidRPr="00F36CC7" w:rsidRDefault="001514EF" w:rsidP="006F2325">
      <w:pPr>
        <w:pStyle w:val="EndNoteBibliography"/>
        <w:rPr>
          <w:rFonts w:ascii="Times New Roman" w:hAnsi="Times New Roman" w:cs="Times New Roman"/>
          <w:noProof/>
          <w:sz w:val="21"/>
          <w:szCs w:val="21"/>
        </w:rPr>
      </w:pPr>
      <w:r w:rsidRPr="00F36CC7">
        <w:rPr>
          <w:rFonts w:ascii="Times New Roman" w:hAnsi="Times New Roman" w:cs="Times New Roman"/>
          <w:noProof/>
          <w:sz w:val="21"/>
          <w:szCs w:val="21"/>
        </w:rPr>
        <w:t>131.</w:t>
      </w:r>
      <w:r w:rsidRPr="00F36CC7">
        <w:rPr>
          <w:rFonts w:ascii="Times New Roman" w:hAnsi="Times New Roman" w:cs="Times New Roman"/>
          <w:noProof/>
          <w:sz w:val="21"/>
          <w:szCs w:val="21"/>
        </w:rPr>
        <w:tab/>
        <w:t>Kaplan N, Fatima A, Peng H, Bryar PJ, Lavker RM, Getsios S. EphA2/Ephrin-A1 signaling complexes restrict corneal epithelial cell migration. Invest Ophthalmol Vis Sci. 2012;53(2):936-45.</w:t>
      </w:r>
    </w:p>
    <w:p w14:paraId="11482FA8" w14:textId="77777777" w:rsidR="001514EF" w:rsidRPr="006F2325" w:rsidRDefault="001514EF">
      <w:pPr>
        <w:spacing w:line="480" w:lineRule="auto"/>
        <w:rPr>
          <w:rFonts w:ascii="Times New Roman" w:hAnsi="Times New Roman" w:cs="Times New Roman"/>
        </w:rPr>
      </w:pPr>
      <w:r w:rsidRPr="006F2325">
        <w:rPr>
          <w:rFonts w:ascii="Times New Roman" w:hAnsi="Times New Roman" w:cs="Times New Roman"/>
        </w:rPr>
        <w:fldChar w:fldCharType="begin"/>
      </w:r>
      <w:r w:rsidRPr="006F2325">
        <w:rPr>
          <w:rFonts w:ascii="Times New Roman" w:hAnsi="Times New Roman" w:cs="Times New Roman"/>
        </w:rPr>
        <w:instrText xml:space="preserve"> ADDIN </w:instrText>
      </w:r>
      <w:r w:rsidRPr="006F2325">
        <w:rPr>
          <w:rFonts w:ascii="Times New Roman" w:hAnsi="Times New Roman" w:cs="Times New Roman"/>
        </w:rPr>
        <w:fldChar w:fldCharType="end"/>
      </w:r>
    </w:p>
    <w:p w14:paraId="195903C5" w14:textId="77777777" w:rsidR="006F2325" w:rsidRPr="006F2325" w:rsidRDefault="006F2325">
      <w:r w:rsidRPr="006F2325">
        <w:br w:type="page"/>
      </w:r>
    </w:p>
    <w:p w14:paraId="06F26ED7"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b/>
          <w:bCs/>
          <w:color w:val="000000" w:themeColor="text1"/>
          <w:kern w:val="0"/>
          <w:sz w:val="30"/>
          <w:szCs w:val="30"/>
        </w:rPr>
      </w:pPr>
      <w:r w:rsidRPr="006F2325">
        <w:rPr>
          <w:rFonts w:ascii="Times New Roman" w:eastAsia="宋体" w:hAnsi="Times New Roman" w:cs="Times New Roman"/>
          <w:b/>
          <w:bCs/>
          <w:color w:val="000000" w:themeColor="text1"/>
          <w:kern w:val="0"/>
          <w:sz w:val="30"/>
          <w:szCs w:val="30"/>
        </w:rPr>
        <w:lastRenderedPageBreak/>
        <w:t>Figure Legends</w:t>
      </w:r>
    </w:p>
    <w:p w14:paraId="1D92F284"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bCs/>
          <w:kern w:val="0"/>
          <w:sz w:val="24"/>
          <w:szCs w:val="21"/>
        </w:rPr>
      </w:pPr>
      <w:r w:rsidRPr="006F2325">
        <w:rPr>
          <w:rFonts w:ascii="Times New Roman" w:eastAsia="宋体" w:hAnsi="Times New Roman" w:cs="Times New Roman"/>
          <w:b/>
          <w:bCs/>
          <w:kern w:val="0"/>
          <w:sz w:val="24"/>
          <w:szCs w:val="21"/>
        </w:rPr>
        <w:t xml:space="preserve">Fig. 1 The anatomy of the eye, cornea and corneal epithelium. </w:t>
      </w:r>
      <w:r w:rsidRPr="006F2325">
        <w:rPr>
          <w:rFonts w:ascii="Times New Roman" w:eastAsia="宋体" w:hAnsi="Times New Roman" w:cs="Times New Roman"/>
          <w:bCs/>
          <w:kern w:val="0"/>
          <w:sz w:val="24"/>
          <w:szCs w:val="21"/>
        </w:rPr>
        <w:t>As the visual organ of the human body, the eye is a complex and sophisticated structure that consists of the cornea, lens, vitreous, choroid, retina, optic nerve, and other accessory structures from front to back. The cornea is situated at the front of the eye and is composed of the CE, Bowman's layer, corneal stroma, Descemet's membrane and the endothelium from outside to inside. Located at the outermost layer of the cornea, the CE is derived from the surface ectoderm. The CE is a self-renewing stratified nonkeratinized squamous epithelium that protects the inner eye tissue, forms the immune barrier, supports the tear film, and maintains transparency to play a role in transmitting light. CECs include superficial squamous cells, central suprabasal cells, and a single layer of inner columnar basal cells</w:t>
      </w:r>
      <w:r w:rsidR="00F36CC7">
        <w:rPr>
          <w:rFonts w:ascii="Times New Roman" w:eastAsia="宋体" w:hAnsi="Times New Roman" w:cs="Times New Roman"/>
          <w:bCs/>
          <w:kern w:val="0"/>
          <w:sz w:val="24"/>
          <w:szCs w:val="21"/>
        </w:rPr>
        <w:t>.</w:t>
      </w:r>
    </w:p>
    <w:p w14:paraId="296E8593"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bCs/>
          <w:kern w:val="0"/>
          <w:sz w:val="24"/>
          <w:szCs w:val="21"/>
        </w:rPr>
      </w:pPr>
    </w:p>
    <w:p w14:paraId="10072728"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kern w:val="0"/>
          <w:sz w:val="24"/>
          <w:szCs w:val="21"/>
        </w:rPr>
      </w:pPr>
      <w:r w:rsidRPr="006F2325">
        <w:rPr>
          <w:rFonts w:ascii="Times New Roman" w:eastAsia="宋体" w:hAnsi="Times New Roman" w:cs="Times New Roman"/>
          <w:b/>
          <w:bCs/>
          <w:kern w:val="0"/>
          <w:sz w:val="24"/>
          <w:szCs w:val="21"/>
        </w:rPr>
        <w:t>Fig. 2 The PI3K/AKT signalling pathway in CECs.</w:t>
      </w:r>
      <w:r w:rsidRPr="006F2325">
        <w:rPr>
          <w:rFonts w:ascii="Times New Roman" w:eastAsia="宋体" w:hAnsi="Times New Roman" w:cs="Times New Roman"/>
          <w:kern w:val="0"/>
          <w:sz w:val="24"/>
          <w:szCs w:val="21"/>
        </w:rPr>
        <w:t xml:space="preserve"> Damage to CECs,</w:t>
      </w:r>
      <w:bookmarkStart w:id="38" w:name="_Hlk102731359"/>
      <w:r w:rsidRPr="006F2325">
        <w:rPr>
          <w:rFonts w:ascii="Times New Roman" w:eastAsia="宋体" w:hAnsi="Times New Roman" w:cs="Times New Roman"/>
          <w:kern w:val="0"/>
          <w:sz w:val="24"/>
          <w:szCs w:val="21"/>
        </w:rPr>
        <w:t xml:space="preserve"> WIN, and CAP can increase</w:t>
      </w:r>
      <w:bookmarkEnd w:id="38"/>
      <w:r w:rsidRPr="006F2325">
        <w:rPr>
          <w:rFonts w:ascii="Times New Roman" w:eastAsia="宋体" w:hAnsi="Times New Roman" w:cs="Times New Roman"/>
          <w:kern w:val="0"/>
          <w:sz w:val="24"/>
          <w:szCs w:val="21"/>
        </w:rPr>
        <w:t xml:space="preserve"> the Ca</w:t>
      </w:r>
      <w:r w:rsidRPr="006F2325">
        <w:rPr>
          <w:rFonts w:ascii="Times New Roman" w:eastAsia="宋体" w:hAnsi="Times New Roman" w:cs="Times New Roman"/>
          <w:kern w:val="0"/>
          <w:sz w:val="24"/>
          <w:szCs w:val="21"/>
          <w:vertAlign w:val="superscript"/>
        </w:rPr>
        <w:t>2+</w:t>
      </w:r>
      <w:r w:rsidRPr="006F2325">
        <w:rPr>
          <w:rFonts w:ascii="Times New Roman" w:eastAsia="宋体" w:hAnsi="Times New Roman" w:cs="Times New Roman"/>
          <w:kern w:val="0"/>
          <w:sz w:val="24"/>
          <w:szCs w:val="21"/>
        </w:rPr>
        <w:t xml:space="preserve"> concentration in the cytosol, respectively, which induce ectodomain shedding of </w:t>
      </w:r>
      <w:bookmarkStart w:id="39" w:name="_Hlk102731471"/>
      <w:r w:rsidRPr="006F2325">
        <w:rPr>
          <w:rFonts w:ascii="Times New Roman" w:eastAsia="宋体" w:hAnsi="Times New Roman" w:cs="Times New Roman"/>
          <w:kern w:val="0"/>
          <w:sz w:val="24"/>
          <w:szCs w:val="21"/>
        </w:rPr>
        <w:t>EGF (and/or HB-EGF)</w:t>
      </w:r>
      <w:bookmarkEnd w:id="39"/>
      <w:r w:rsidRPr="006F2325">
        <w:rPr>
          <w:rFonts w:ascii="Times New Roman" w:eastAsia="宋体" w:hAnsi="Times New Roman" w:cs="Times New Roman"/>
          <w:kern w:val="0"/>
          <w:sz w:val="24"/>
          <w:szCs w:val="21"/>
        </w:rPr>
        <w:t xml:space="preserve"> via activation of ADAM and/or MMPs in the plasma membrane</w:t>
      </w:r>
      <w:bookmarkStart w:id="40" w:name="_Hlk102731542"/>
      <w:r w:rsidRPr="006F2325">
        <w:rPr>
          <w:rFonts w:ascii="Times New Roman" w:eastAsia="宋体" w:hAnsi="Times New Roman" w:cs="Times New Roman"/>
          <w:kern w:val="0"/>
          <w:sz w:val="24"/>
          <w:szCs w:val="21"/>
        </w:rPr>
        <w:t xml:space="preserve"> and extracellular matrix</w:t>
      </w:r>
      <w:bookmarkEnd w:id="40"/>
      <w:r w:rsidRPr="006F2325">
        <w:rPr>
          <w:rFonts w:ascii="Times New Roman" w:eastAsia="宋体" w:hAnsi="Times New Roman" w:cs="Times New Roman"/>
          <w:kern w:val="0"/>
          <w:sz w:val="24"/>
          <w:szCs w:val="21"/>
        </w:rPr>
        <w:t xml:space="preserve">. The growth factors, insulin, and NK-1 induce PI3K phosphorylation by binding to their receptors in the plasma membrane. Activated PI3K subsequently phosphorylates lipids on the cell membrane to form the second messenger PIP3, leading to the phosphorylation of AKT. Then, AKT mediates downstream responses by phosphorylating or inducing the formation </w:t>
      </w:r>
      <w:r w:rsidRPr="006F2325">
        <w:rPr>
          <w:rFonts w:ascii="Times New Roman" w:eastAsia="宋体" w:hAnsi="Times New Roman" w:cs="Times New Roman"/>
          <w:kern w:val="0"/>
          <w:sz w:val="24"/>
          <w:szCs w:val="21"/>
        </w:rPr>
        <w:lastRenderedPageBreak/>
        <w:t>of complexes composed of various downstream molecules, such as mTOR, ROS, and GSK3β. Specifically, mTOR is an important molecule downstream of AKT, and AKT activation indirectly activates mTORC1,</w:t>
      </w:r>
      <w:bookmarkStart w:id="41" w:name="_Hlk102732572"/>
      <w:r w:rsidRPr="006F2325">
        <w:rPr>
          <w:rFonts w:ascii="Times New Roman" w:eastAsia="宋体" w:hAnsi="Times New Roman" w:cs="Times New Roman"/>
          <w:kern w:val="0"/>
          <w:sz w:val="24"/>
          <w:szCs w:val="21"/>
        </w:rPr>
        <w:t xml:space="preserve"> promoting cell migration and proliferation, and inhibiting inflammation and apoptosis.</w:t>
      </w:r>
      <w:bookmarkEnd w:id="41"/>
      <w:r w:rsidRPr="006F2325">
        <w:rPr>
          <w:rFonts w:ascii="Times New Roman" w:eastAsia="宋体" w:hAnsi="Times New Roman" w:cs="Times New Roman"/>
          <w:kern w:val="0"/>
          <w:sz w:val="24"/>
          <w:szCs w:val="21"/>
        </w:rPr>
        <w:t xml:space="preserve"> AKT, an antiapoptotic factor, also inhibits cell apoptosis through </w:t>
      </w:r>
      <w:bookmarkStart w:id="42" w:name="_Hlk102732662"/>
      <w:r w:rsidRPr="006F2325">
        <w:rPr>
          <w:rFonts w:ascii="Times New Roman" w:eastAsia="宋体" w:hAnsi="Times New Roman" w:cs="Times New Roman"/>
          <w:kern w:val="0"/>
          <w:sz w:val="24"/>
          <w:szCs w:val="21"/>
        </w:rPr>
        <w:t xml:space="preserve">eliminating excessive ROS in cytosol. </w:t>
      </w:r>
      <w:bookmarkStart w:id="43" w:name="_Hlk102732689"/>
      <w:bookmarkEnd w:id="42"/>
      <w:r w:rsidRPr="006F2325">
        <w:rPr>
          <w:rFonts w:ascii="Times New Roman" w:eastAsia="宋体" w:hAnsi="Times New Roman" w:cs="Times New Roman"/>
          <w:kern w:val="0"/>
          <w:sz w:val="24"/>
          <w:szCs w:val="21"/>
        </w:rPr>
        <w:t>However, produced by NADPH oxidase, a low or moderate level of ROS act as a second messenger of PI3K and inhibitor of Phosphatase and tensin homologue, both of which promote activation of AKT.</w:t>
      </w:r>
      <w:bookmarkEnd w:id="43"/>
      <w:r w:rsidRPr="006F2325">
        <w:rPr>
          <w:rFonts w:ascii="Times New Roman" w:eastAsia="宋体" w:hAnsi="Times New Roman" w:cs="Times New Roman"/>
          <w:kern w:val="0"/>
          <w:sz w:val="24"/>
          <w:szCs w:val="21"/>
        </w:rPr>
        <w:t xml:space="preserve"> Activated AKT also phosphorylates GSK3β and reduces its activity, thereby promoting cell migration and proliferation. </w:t>
      </w:r>
      <w:bookmarkStart w:id="44" w:name="_Hlk102732875"/>
      <w:r w:rsidRPr="006F2325">
        <w:rPr>
          <w:rFonts w:ascii="Times New Roman" w:eastAsia="宋体" w:hAnsi="Times New Roman" w:cs="Times New Roman"/>
          <w:kern w:val="0"/>
          <w:sz w:val="24"/>
          <w:szCs w:val="21"/>
        </w:rPr>
        <w:t>All of the above effects promote the healing of the CE together.</w:t>
      </w:r>
      <w:bookmarkEnd w:id="44"/>
      <w:r w:rsidRPr="006F2325">
        <w:rPr>
          <w:rFonts w:ascii="Times New Roman" w:eastAsia="宋体" w:hAnsi="Times New Roman" w:cs="Times New Roman"/>
          <w:kern w:val="0"/>
          <w:sz w:val="24"/>
          <w:szCs w:val="21"/>
        </w:rPr>
        <w:t xml:space="preserve"> NOX, NADPH oxidase; INSR, Insulin receptor; IGFBP3, Insulin-like growth factor-binding protein 3; α3β1-INT, α3β1 integrin; IRS2, Insulin receptor substrate 2; TSC2, Tuberous sclerosis complex 2; Bax, Bcl-2-associated X protein; Bad, Bcl-2-associated agonist of cell death protein; Bim, Bcl-2-like protein 11; CytC,</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cytochrome c; PXN, Paxillin; PCNA, Proliferating cell nuclear antigen; CDK, Cyclin-dependent kinase;</w:t>
      </w:r>
      <w:bookmarkStart w:id="45" w:name="_Hlk102732727"/>
      <w:r w:rsidRPr="006F2325">
        <w:rPr>
          <w:rFonts w:ascii="Times New Roman" w:eastAsia="宋体" w:hAnsi="Times New Roman" w:cs="Times New Roman"/>
          <w:kern w:val="0"/>
          <w:sz w:val="24"/>
          <w:szCs w:val="21"/>
        </w:rPr>
        <w:t xml:space="preserve"> PTEN, Phosphatase and tensin homologue;</w:t>
      </w:r>
      <w:bookmarkEnd w:id="45"/>
      <w:r w:rsidRPr="006F2325">
        <w:rPr>
          <w:rFonts w:ascii="Times New Roman" w:eastAsia="宋体" w:hAnsi="Times New Roman" w:cs="Times New Roman"/>
          <w:kern w:val="0"/>
          <w:sz w:val="24"/>
          <w:szCs w:val="21"/>
        </w:rPr>
        <w:t xml:space="preserve"> WIN,</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MAP kinase kinase kinase win; CAP, capsaicin; CB1, cannabinoid receptor 1; TRPV1, transient receptor potential vanilloid 1; PARP, poly (ADP-ribose) polymerase; MIP-1β, macrophage inflammatory protein 1β; MIP-1α,</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macrophage inflamm</w:t>
      </w:r>
      <w:r w:rsidRPr="006F2325">
        <w:rPr>
          <w:rFonts w:ascii="Times New Roman" w:eastAsia="宋体" w:hAnsi="Times New Roman" w:cs="Times New Roman"/>
          <w:kern w:val="0"/>
          <w:sz w:val="24"/>
          <w:szCs w:val="24"/>
        </w:rPr>
        <w:t>atory protein 1α</w:t>
      </w:r>
      <w:r>
        <w:rPr>
          <w:rFonts w:ascii="Times New Roman" w:eastAsia="宋体" w:hAnsi="Times New Roman" w:cs="Times New Roman"/>
          <w:kern w:val="0"/>
          <w:sz w:val="24"/>
          <w:szCs w:val="24"/>
        </w:rPr>
        <w:t>;</w:t>
      </w:r>
      <w:r w:rsidRPr="006F2325">
        <w:rPr>
          <w:rFonts w:ascii="Times New Roman" w:hAnsi="Times New Roman" w:cs="Times New Roman"/>
          <w:sz w:val="24"/>
          <w:szCs w:val="24"/>
        </w:rPr>
        <w:t xml:space="preserve"> </w:t>
      </w:r>
      <w:r w:rsidRPr="002C20A4">
        <w:rPr>
          <w:rFonts w:ascii="Times New Roman" w:hAnsi="Times New Roman" w:cs="Times New Roman"/>
          <w:sz w:val="24"/>
          <w:szCs w:val="24"/>
          <w:highlight w:val="yellow"/>
        </w:rPr>
        <w:t xml:space="preserve">ADAM, </w:t>
      </w:r>
      <w:r w:rsidRPr="002C20A4">
        <w:rPr>
          <w:rFonts w:ascii="Times New Roman" w:eastAsia="宋体" w:hAnsi="Times New Roman" w:cs="Times New Roman"/>
          <w:kern w:val="0"/>
          <w:sz w:val="24"/>
          <w:szCs w:val="24"/>
          <w:highlight w:val="yellow"/>
        </w:rPr>
        <w:t>a disintegrin and metalloproteinase</w:t>
      </w:r>
      <w:r w:rsidRPr="006F2325">
        <w:rPr>
          <w:rFonts w:ascii="Times New Roman" w:eastAsia="宋体" w:hAnsi="Times New Roman" w:cs="Times New Roman"/>
          <w:kern w:val="0"/>
          <w:sz w:val="24"/>
          <w:szCs w:val="24"/>
        </w:rPr>
        <w:t>.</w:t>
      </w:r>
    </w:p>
    <w:p w14:paraId="7D75D955"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kern w:val="0"/>
          <w:sz w:val="24"/>
          <w:szCs w:val="21"/>
        </w:rPr>
      </w:pPr>
    </w:p>
    <w:p w14:paraId="2D1F8DBD"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kern w:val="0"/>
          <w:sz w:val="24"/>
          <w:szCs w:val="21"/>
        </w:rPr>
      </w:pPr>
      <w:r w:rsidRPr="006F2325">
        <w:rPr>
          <w:rFonts w:ascii="Times New Roman" w:eastAsia="宋体" w:hAnsi="Times New Roman" w:cs="Times New Roman"/>
          <w:b/>
          <w:kern w:val="0"/>
          <w:sz w:val="24"/>
          <w:szCs w:val="21"/>
        </w:rPr>
        <w:lastRenderedPageBreak/>
        <w:t xml:space="preserve">Fig. 3 The roles of different molecules related to the PI3K/AKT pathway in CECs in diseases and therapeutic strategies. </w:t>
      </w:r>
      <w:r w:rsidRPr="006F2325">
        <w:rPr>
          <w:rFonts w:ascii="Times New Roman" w:eastAsia="宋体" w:hAnsi="Times New Roman" w:cs="Times New Roman"/>
          <w:kern w:val="0"/>
          <w:sz w:val="24"/>
          <w:szCs w:val="21"/>
        </w:rPr>
        <w:t>The PI3K/AKT signalling pathway plays an important role in DK, DED and keratitis. Many exogenous or endogenous molecules affect the development of corneal diseases through the PI3K/AKT signalling pathway. Furthermore, many newly discovered drugs alleviate these corneal diseases by regulating the PI3K/AKT signalling pathway. This figure uses different colours to indicate different corneal diseases and clarify the complex signalling network in CECs. In DK, hyperglycaemia induces insulin production, promotes the activation of the PI3K/AKT signalling pathway, and inhibits cell apoptosis. On the other hand, hyperglycaemia increases ROS levels. It inhibits IGF1 receptor, EGFR-ErbB2, TGF-β, GPCR, and other AKT upstream molecules, inducing cell apoptosis and inhibiting corneal wound healing. DED-induced hyperosmolarity inhibits the PI3K/AKT pathway and activates cell apoptosis and autophagy, leading to corneal inflammation. CsA and AST</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were also discovered reverse the changes caused by DED through the PI3K/AKT pathway. However, in noninfectious and infectious keratitis, overactivated AKT promotes inflammation. LPS, NM, and EPS-II increase the levels of inflammation-related proteins by activating the PI3K/AKT pathway. Moreover, as potential drugs, AA, C3G, and other molecules inhibit inflammation through the PI3K/AKT pathway. In particular, in viral keratitis, the PI3K/AKT pathway is also an important target for regulating viral (HSV-1) replication.</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 xml:space="preserve">GPCR, G protein-coupled receptor; AA, asiatic acid; NM, Nitrogen mustard; NAC, N-acetyl cysteine; MANF, Mesencephalic astrocyte-derived neurotrophic factor; TFEB, </w:t>
      </w:r>
      <w:r w:rsidRPr="006F2325">
        <w:rPr>
          <w:rFonts w:ascii="Times New Roman" w:eastAsia="宋体" w:hAnsi="Times New Roman" w:cs="Times New Roman"/>
          <w:kern w:val="0"/>
          <w:sz w:val="24"/>
          <w:szCs w:val="21"/>
        </w:rPr>
        <w:lastRenderedPageBreak/>
        <w:t>Transcription factor; PERK, Protein kinase RNA- like endoplasmic reticulum kinase; CHOP, C/EBP-homologous protein; VEGF, Vascular endothelial growth factor; COX2, Cyclooxyge</w:t>
      </w:r>
      <w:r w:rsidRPr="006F2325">
        <w:rPr>
          <w:rFonts w:ascii="Times New Roman" w:eastAsia="宋体" w:hAnsi="Times New Roman" w:cs="Times New Roman"/>
          <w:kern w:val="0"/>
          <w:sz w:val="24"/>
          <w:szCs w:val="24"/>
        </w:rPr>
        <w:t>nase 2</w:t>
      </w:r>
      <w:bookmarkStart w:id="46" w:name="_Hlk102733366"/>
      <w:r w:rsidRPr="006F2325">
        <w:rPr>
          <w:rFonts w:ascii="Times New Roman" w:eastAsia="宋体" w:hAnsi="Times New Roman" w:cs="Times New Roman"/>
          <w:kern w:val="0"/>
          <w:sz w:val="24"/>
          <w:szCs w:val="24"/>
        </w:rPr>
        <w:t>;</w:t>
      </w:r>
      <w:r w:rsidRPr="006F2325">
        <w:rPr>
          <w:rFonts w:ascii="Times New Roman" w:hAnsi="Times New Roman" w:cs="Times New Roman"/>
          <w:sz w:val="24"/>
          <w:szCs w:val="24"/>
        </w:rPr>
        <w:t xml:space="preserve"> CF, </w:t>
      </w:r>
      <w:r w:rsidRPr="006F2325">
        <w:rPr>
          <w:rFonts w:ascii="Times New Roman" w:eastAsia="宋体" w:hAnsi="Times New Roman" w:cs="Times New Roman"/>
          <w:kern w:val="0"/>
          <w:sz w:val="24"/>
          <w:szCs w:val="24"/>
        </w:rPr>
        <w:t>cathepsin F</w:t>
      </w:r>
      <w:bookmarkEnd w:id="46"/>
      <w:r w:rsidRPr="006F2325">
        <w:rPr>
          <w:rFonts w:ascii="Times New Roman" w:eastAsia="宋体" w:hAnsi="Times New Roman" w:cs="Times New Roman"/>
          <w:kern w:val="0"/>
          <w:sz w:val="24"/>
          <w:szCs w:val="24"/>
        </w:rPr>
        <w:t>; HSV-1, herpes simplex virus type 1</w:t>
      </w:r>
      <w:r w:rsidRPr="006F2325">
        <w:rPr>
          <w:rFonts w:ascii="Times New Roman" w:eastAsia="宋体" w:hAnsi="Times New Roman" w:cs="Times New Roman"/>
          <w:kern w:val="0"/>
          <w:sz w:val="24"/>
          <w:szCs w:val="21"/>
        </w:rPr>
        <w:t>.</w:t>
      </w:r>
    </w:p>
    <w:p w14:paraId="2E8D48E1"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kern w:val="0"/>
          <w:sz w:val="24"/>
          <w:szCs w:val="21"/>
        </w:rPr>
      </w:pPr>
    </w:p>
    <w:p w14:paraId="7D31A292" w14:textId="77777777" w:rsidR="006F2325" w:rsidRPr="006F2325" w:rsidRDefault="006F2325" w:rsidP="006F2325">
      <w:pPr>
        <w:widowControl/>
        <w:spacing w:before="225" w:after="225" w:line="480" w:lineRule="auto"/>
        <w:jc w:val="left"/>
        <w:textAlignment w:val="baseline"/>
        <w:rPr>
          <w:rFonts w:ascii="Times New Roman" w:eastAsia="宋体" w:hAnsi="Times New Roman" w:cs="Times New Roman"/>
          <w:kern w:val="0"/>
          <w:sz w:val="24"/>
          <w:szCs w:val="21"/>
        </w:rPr>
      </w:pPr>
      <w:r w:rsidRPr="006F2325">
        <w:rPr>
          <w:rFonts w:ascii="Times New Roman" w:eastAsia="宋体" w:hAnsi="Times New Roman" w:cs="Times New Roman"/>
          <w:b/>
          <w:kern w:val="0"/>
          <w:sz w:val="24"/>
          <w:szCs w:val="21"/>
        </w:rPr>
        <w:t>Fig. 4 The localization and function of different molecules involved in the PI3K/AKT signalling pathway in the CE.</w:t>
      </w:r>
      <w:r w:rsidRPr="006F2325">
        <w:rPr>
          <w:rFonts w:ascii="Times New Roman" w:eastAsia="宋体" w:hAnsi="Times New Roman" w:cs="Times New Roman"/>
          <w:kern w:val="0"/>
          <w:sz w:val="24"/>
          <w:szCs w:val="21"/>
        </w:rPr>
        <w:t xml:space="preserve"> At the tissue level, different molecules affect CECs</w:t>
      </w:r>
      <w:r w:rsidRPr="006F2325">
        <w:rPr>
          <w:rFonts w:ascii="Times New Roman" w:hAnsi="Times New Roman" w:cs="Times New Roman"/>
        </w:rPr>
        <w:t xml:space="preserve"> </w:t>
      </w:r>
      <w:r w:rsidRPr="006F2325">
        <w:rPr>
          <w:rFonts w:ascii="Times New Roman" w:eastAsia="宋体" w:hAnsi="Times New Roman" w:cs="Times New Roman"/>
          <w:kern w:val="0"/>
          <w:sz w:val="24"/>
          <w:szCs w:val="21"/>
        </w:rPr>
        <w:t>by modulating the PI3K/AKT signalling pathway</w:t>
      </w:r>
      <w:r w:rsidRPr="006F2325">
        <w:rPr>
          <w:rFonts w:ascii="Times New Roman" w:eastAsia="宋体" w:hAnsi="Times New Roman" w:cs="Times New Roman"/>
          <w:i/>
          <w:iCs/>
          <w:kern w:val="0"/>
          <w:sz w:val="24"/>
          <w:szCs w:val="21"/>
        </w:rPr>
        <w:t xml:space="preserve"> in vivo</w:t>
      </w:r>
      <w:r w:rsidRPr="006F2325">
        <w:rPr>
          <w:rFonts w:ascii="Times New Roman" w:eastAsia="宋体" w:hAnsi="Times New Roman" w:cs="Times New Roman"/>
          <w:kern w:val="0"/>
          <w:sz w:val="24"/>
          <w:szCs w:val="21"/>
        </w:rPr>
        <w:t xml:space="preserve"> and </w:t>
      </w:r>
      <w:r w:rsidRPr="006F2325">
        <w:rPr>
          <w:rFonts w:ascii="Times New Roman" w:eastAsia="宋体" w:hAnsi="Times New Roman" w:cs="Times New Roman"/>
          <w:i/>
          <w:iCs/>
          <w:kern w:val="0"/>
          <w:sz w:val="24"/>
          <w:szCs w:val="21"/>
        </w:rPr>
        <w:t>in vitro</w:t>
      </w:r>
      <w:r w:rsidRPr="006F2325">
        <w:rPr>
          <w:rFonts w:ascii="Times New Roman" w:eastAsia="宋体" w:hAnsi="Times New Roman" w:cs="Times New Roman"/>
          <w:kern w:val="0"/>
          <w:sz w:val="24"/>
          <w:szCs w:val="21"/>
        </w:rPr>
        <w:t>. Some factors are extracellular, such as wounds, some drugs (AST, CsA, AA, and C3G), and some biological or chemical stimulants (LPS, EPS, and NM). Moreover, some factors exist in cells, such as glucose, insulin, various growth factors related to hyperglycaemia, and hyperosmolarity, which is related to DED.</w:t>
      </w:r>
      <w:r w:rsidRPr="006F2325">
        <w:rPr>
          <w:rFonts w:ascii="Times New Roman" w:eastAsia="宋体" w:hAnsi="Times New Roman" w:cs="Times New Roman"/>
          <w:kern w:val="0"/>
          <w:sz w:val="24"/>
          <w:szCs w:val="21"/>
        </w:rPr>
        <w:br w:type="page"/>
      </w:r>
    </w:p>
    <w:p w14:paraId="7436BC23" w14:textId="77777777" w:rsidR="006F2325" w:rsidRPr="006F2325" w:rsidRDefault="006F2325" w:rsidP="006F2325">
      <w:pPr>
        <w:spacing w:line="480" w:lineRule="auto"/>
        <w:rPr>
          <w:rFonts w:ascii="Times New Roman" w:hAnsi="Times New Roman" w:cs="Times New Roman"/>
          <w:sz w:val="24"/>
          <w:szCs w:val="24"/>
        </w:rPr>
      </w:pPr>
      <w:r w:rsidRPr="006F2325">
        <w:rPr>
          <w:rFonts w:ascii="Times New Roman" w:hAnsi="Times New Roman" w:cs="Times New Roman"/>
          <w:sz w:val="24"/>
          <w:szCs w:val="24"/>
        </w:rPr>
        <w:lastRenderedPageBreak/>
        <w:fldChar w:fldCharType="begin"/>
      </w:r>
      <w:r w:rsidRPr="006F2325">
        <w:rPr>
          <w:rFonts w:ascii="Times New Roman" w:hAnsi="Times New Roman" w:cs="Times New Roman"/>
          <w:sz w:val="24"/>
          <w:szCs w:val="24"/>
        </w:rPr>
        <w:instrText xml:space="preserve"> ADDIN </w:instrText>
      </w:r>
      <w:r w:rsidRPr="006F2325">
        <w:rPr>
          <w:rFonts w:ascii="Times New Roman" w:hAnsi="Times New Roman" w:cs="Times New Roman"/>
          <w:sz w:val="24"/>
          <w:szCs w:val="24"/>
        </w:rPr>
        <w:fldChar w:fldCharType="end"/>
      </w:r>
      <w:r w:rsidRPr="006F2325">
        <w:rPr>
          <w:rFonts w:ascii="Times New Roman" w:eastAsia="Times New Roman" w:hAnsi="Times New Roman" w:cs="Times New Roman"/>
          <w:b/>
          <w:bCs/>
          <w:color w:val="000000"/>
          <w:sz w:val="24"/>
          <w:szCs w:val="24"/>
        </w:rPr>
        <w:t>Table 1. Classic molecules in PI3K/AKT signalling in CECs.</w:t>
      </w:r>
    </w:p>
    <w:tbl>
      <w:tblPr>
        <w:tblStyle w:val="2"/>
        <w:tblW w:w="9360" w:type="dxa"/>
        <w:jc w:val="center"/>
        <w:tblLayout w:type="fixed"/>
        <w:tblCellMar>
          <w:top w:w="120" w:type="dxa"/>
          <w:left w:w="60" w:type="dxa"/>
          <w:bottom w:w="120" w:type="dxa"/>
          <w:right w:w="60" w:type="dxa"/>
        </w:tblCellMar>
        <w:tblLook w:val="04A0" w:firstRow="1" w:lastRow="0" w:firstColumn="1" w:lastColumn="0" w:noHBand="0" w:noVBand="1"/>
      </w:tblPr>
      <w:tblGrid>
        <w:gridCol w:w="1270"/>
        <w:gridCol w:w="2417"/>
        <w:gridCol w:w="2127"/>
        <w:gridCol w:w="1132"/>
        <w:gridCol w:w="1421"/>
        <w:gridCol w:w="993"/>
      </w:tblGrid>
      <w:tr w:rsidR="006F2325" w:rsidRPr="006F2325" w14:paraId="220DA100" w14:textId="77777777" w:rsidTr="00F36CC7">
        <w:trPr>
          <w:trHeight w:val="42"/>
          <w:jc w:val="center"/>
        </w:trPr>
        <w:tc>
          <w:tcPr>
            <w:tcW w:w="1270" w:type="dxa"/>
            <w:tcBorders>
              <w:top w:val="single" w:sz="8" w:space="0" w:color="000000"/>
              <w:left w:val="nil"/>
              <w:bottom w:val="single" w:sz="8" w:space="0" w:color="000000"/>
              <w:right w:val="nil"/>
            </w:tcBorders>
            <w:shd w:val="clear" w:color="auto" w:fill="FFFFFF"/>
            <w:vAlign w:val="center"/>
            <w:hideMark/>
          </w:tcPr>
          <w:p w14:paraId="72DC89B7" w14:textId="77777777" w:rsidR="006F2325" w:rsidRPr="006F2325" w:rsidRDefault="006F2325">
            <w:pPr>
              <w:spacing w:before="100" w:beforeAutospacing="1" w:after="100" w:afterAutospacing="1" w:line="0" w:lineRule="atLeast"/>
              <w:jc w:val="center"/>
              <w:rPr>
                <w:rFonts w:ascii="Times New Roman" w:eastAsia="宋体" w:hAnsi="Times New Roman"/>
                <w:b/>
                <w:bCs/>
                <w:color w:val="000000"/>
                <w:sz w:val="13"/>
                <w:szCs w:val="13"/>
              </w:rPr>
            </w:pPr>
            <w:r w:rsidRPr="006F2325">
              <w:rPr>
                <w:rFonts w:ascii="Times New Roman" w:eastAsia="Times New Roman" w:hAnsi="Times New Roman"/>
                <w:b/>
                <w:bCs/>
                <w:color w:val="000000"/>
                <w:sz w:val="13"/>
                <w:szCs w:val="13"/>
              </w:rPr>
              <w:t>Molecular name</w:t>
            </w:r>
          </w:p>
        </w:tc>
        <w:tc>
          <w:tcPr>
            <w:tcW w:w="2417" w:type="dxa"/>
            <w:tcBorders>
              <w:top w:val="single" w:sz="8" w:space="0" w:color="000000"/>
              <w:left w:val="nil"/>
              <w:bottom w:val="single" w:sz="8" w:space="0" w:color="000000"/>
              <w:right w:val="nil"/>
            </w:tcBorders>
            <w:shd w:val="clear" w:color="auto" w:fill="FFFFFF"/>
            <w:vAlign w:val="center"/>
            <w:hideMark/>
          </w:tcPr>
          <w:p w14:paraId="119C2D31" w14:textId="77777777" w:rsidR="006F2325" w:rsidRPr="006F2325" w:rsidRDefault="006F2325">
            <w:pPr>
              <w:spacing w:before="100" w:beforeAutospacing="1" w:after="100" w:afterAutospacing="1" w:line="0" w:lineRule="atLeast"/>
              <w:jc w:val="center"/>
              <w:rPr>
                <w:rFonts w:ascii="Times New Roman" w:hAnsi="Times New Roman"/>
                <w:b/>
                <w:bCs/>
                <w:color w:val="000000"/>
                <w:sz w:val="13"/>
                <w:szCs w:val="13"/>
              </w:rPr>
            </w:pPr>
            <w:r w:rsidRPr="006F2325">
              <w:rPr>
                <w:rFonts w:ascii="Times New Roman" w:eastAsia="Times New Roman" w:hAnsi="Times New Roman"/>
                <w:b/>
                <w:bCs/>
                <w:color w:val="000000"/>
                <w:sz w:val="13"/>
                <w:szCs w:val="13"/>
              </w:rPr>
              <w:t>Molecular Function</w:t>
            </w:r>
          </w:p>
        </w:tc>
        <w:tc>
          <w:tcPr>
            <w:tcW w:w="2127" w:type="dxa"/>
            <w:tcBorders>
              <w:top w:val="single" w:sz="8" w:space="0" w:color="000000"/>
              <w:left w:val="nil"/>
              <w:bottom w:val="single" w:sz="8" w:space="0" w:color="000000"/>
              <w:right w:val="nil"/>
            </w:tcBorders>
            <w:shd w:val="clear" w:color="auto" w:fill="FFFFFF"/>
            <w:vAlign w:val="center"/>
            <w:hideMark/>
          </w:tcPr>
          <w:p w14:paraId="2F7E6015" w14:textId="77777777" w:rsidR="006F2325" w:rsidRPr="006F2325" w:rsidRDefault="006F2325">
            <w:pPr>
              <w:spacing w:before="100" w:beforeAutospacing="1" w:after="100" w:afterAutospacing="1" w:line="0" w:lineRule="atLeast"/>
              <w:jc w:val="center"/>
              <w:rPr>
                <w:rFonts w:ascii="Times New Roman" w:eastAsia="宋体" w:hAnsi="Times New Roman"/>
                <w:b/>
                <w:bCs/>
                <w:color w:val="000000"/>
                <w:sz w:val="13"/>
                <w:szCs w:val="13"/>
              </w:rPr>
            </w:pPr>
            <w:r w:rsidRPr="006F2325">
              <w:rPr>
                <w:rFonts w:ascii="Times New Roman" w:eastAsia="Times New Roman" w:hAnsi="Times New Roman"/>
                <w:b/>
                <w:bCs/>
                <w:color w:val="000000"/>
                <w:sz w:val="13"/>
                <w:szCs w:val="13"/>
              </w:rPr>
              <w:t>Biological Function in CECs</w:t>
            </w:r>
          </w:p>
        </w:tc>
        <w:tc>
          <w:tcPr>
            <w:tcW w:w="1132" w:type="dxa"/>
            <w:tcBorders>
              <w:top w:val="single" w:sz="8" w:space="0" w:color="000000"/>
              <w:left w:val="nil"/>
              <w:bottom w:val="single" w:sz="8" w:space="0" w:color="000000"/>
              <w:right w:val="nil"/>
            </w:tcBorders>
            <w:shd w:val="clear" w:color="auto" w:fill="FFFFFF"/>
            <w:vAlign w:val="center"/>
            <w:hideMark/>
          </w:tcPr>
          <w:p w14:paraId="1E38D0B6" w14:textId="77777777" w:rsidR="006F2325" w:rsidRPr="006F2325" w:rsidRDefault="006F2325">
            <w:pPr>
              <w:spacing w:before="100" w:beforeAutospacing="1" w:after="100" w:afterAutospacing="1" w:line="0" w:lineRule="atLeast"/>
              <w:jc w:val="center"/>
              <w:rPr>
                <w:rFonts w:ascii="Times New Roman" w:eastAsia="宋体" w:hAnsi="Times New Roman"/>
                <w:b/>
                <w:bCs/>
                <w:color w:val="000000"/>
                <w:sz w:val="13"/>
                <w:szCs w:val="13"/>
              </w:rPr>
            </w:pPr>
            <w:r w:rsidRPr="006F2325">
              <w:rPr>
                <w:rFonts w:ascii="Times New Roman" w:eastAsia="Times New Roman" w:hAnsi="Times New Roman"/>
                <w:b/>
                <w:bCs/>
                <w:color w:val="000000"/>
                <w:sz w:val="13"/>
                <w:szCs w:val="13"/>
              </w:rPr>
              <w:t>Regulators</w:t>
            </w:r>
          </w:p>
        </w:tc>
        <w:tc>
          <w:tcPr>
            <w:tcW w:w="1421" w:type="dxa"/>
            <w:tcBorders>
              <w:top w:val="single" w:sz="8" w:space="0" w:color="000000"/>
              <w:left w:val="nil"/>
              <w:bottom w:val="single" w:sz="8" w:space="0" w:color="000000"/>
              <w:right w:val="nil"/>
            </w:tcBorders>
            <w:shd w:val="clear" w:color="auto" w:fill="FFFFFF"/>
            <w:vAlign w:val="center"/>
            <w:hideMark/>
          </w:tcPr>
          <w:p w14:paraId="04AB89BF" w14:textId="77777777" w:rsidR="006F2325" w:rsidRPr="006F2325" w:rsidRDefault="006F2325">
            <w:pPr>
              <w:spacing w:before="100" w:beforeAutospacing="1" w:after="100" w:afterAutospacing="1" w:line="0" w:lineRule="atLeast"/>
              <w:jc w:val="center"/>
              <w:rPr>
                <w:rFonts w:ascii="Times New Roman" w:hAnsi="Times New Roman"/>
                <w:b/>
                <w:bCs/>
                <w:color w:val="000000"/>
                <w:sz w:val="13"/>
                <w:szCs w:val="13"/>
              </w:rPr>
            </w:pPr>
            <w:r w:rsidRPr="006F2325">
              <w:rPr>
                <w:rFonts w:ascii="Times New Roman" w:eastAsia="Times New Roman" w:hAnsi="Times New Roman"/>
                <w:b/>
                <w:bCs/>
                <w:color w:val="000000"/>
                <w:sz w:val="13"/>
                <w:szCs w:val="13"/>
              </w:rPr>
              <w:t>Subcellular Location</w:t>
            </w:r>
          </w:p>
        </w:tc>
        <w:tc>
          <w:tcPr>
            <w:tcW w:w="993" w:type="dxa"/>
            <w:tcBorders>
              <w:top w:val="single" w:sz="8" w:space="0" w:color="000000"/>
              <w:left w:val="nil"/>
              <w:bottom w:val="single" w:sz="8" w:space="0" w:color="000000"/>
              <w:right w:val="nil"/>
            </w:tcBorders>
            <w:shd w:val="clear" w:color="auto" w:fill="FFFFFF"/>
            <w:vAlign w:val="center"/>
            <w:hideMark/>
          </w:tcPr>
          <w:p w14:paraId="43D01DA2" w14:textId="77777777" w:rsidR="006F2325" w:rsidRPr="006F2325" w:rsidRDefault="006F2325">
            <w:pPr>
              <w:spacing w:before="100" w:beforeAutospacing="1" w:after="100" w:afterAutospacing="1" w:line="0" w:lineRule="atLeast"/>
              <w:jc w:val="center"/>
              <w:rPr>
                <w:rFonts w:ascii="Times New Roman" w:eastAsia="宋体" w:hAnsi="Times New Roman"/>
                <w:b/>
                <w:bCs/>
                <w:color w:val="000000"/>
                <w:sz w:val="13"/>
                <w:szCs w:val="13"/>
              </w:rPr>
            </w:pPr>
            <w:r w:rsidRPr="006F2325">
              <w:rPr>
                <w:rFonts w:ascii="Times New Roman" w:eastAsia="Times New Roman" w:hAnsi="Times New Roman"/>
                <w:b/>
                <w:bCs/>
                <w:color w:val="000000"/>
                <w:sz w:val="13"/>
                <w:szCs w:val="13"/>
              </w:rPr>
              <w:t>Contributors</w:t>
            </w:r>
          </w:p>
        </w:tc>
      </w:tr>
      <w:tr w:rsidR="006F2325" w:rsidRPr="006F2325" w14:paraId="11733438" w14:textId="77777777" w:rsidTr="00F36CC7">
        <w:trPr>
          <w:trHeight w:val="21"/>
          <w:jc w:val="center"/>
        </w:trPr>
        <w:tc>
          <w:tcPr>
            <w:tcW w:w="1270" w:type="dxa"/>
            <w:tcBorders>
              <w:top w:val="single" w:sz="8" w:space="0" w:color="000000"/>
              <w:left w:val="nil"/>
              <w:bottom w:val="nil"/>
              <w:right w:val="nil"/>
            </w:tcBorders>
            <w:shd w:val="clear" w:color="auto" w:fill="FFFFFF"/>
            <w:vAlign w:val="center"/>
            <w:hideMark/>
          </w:tcPr>
          <w:p w14:paraId="7FE64BF9"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Phosphatase and tensin homologue</w:t>
            </w:r>
          </w:p>
        </w:tc>
        <w:tc>
          <w:tcPr>
            <w:tcW w:w="2417" w:type="dxa"/>
            <w:tcBorders>
              <w:top w:val="single" w:sz="8" w:space="0" w:color="000000"/>
              <w:left w:val="nil"/>
              <w:bottom w:val="nil"/>
              <w:right w:val="nil"/>
            </w:tcBorders>
            <w:shd w:val="clear" w:color="auto" w:fill="FFFFFF"/>
            <w:vAlign w:val="center"/>
            <w:hideMark/>
          </w:tcPr>
          <w:p w14:paraId="40FD7A88"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Tumor suppressor, inhibit PI3K/AKT signalling</w:t>
            </w:r>
          </w:p>
        </w:tc>
        <w:tc>
          <w:tcPr>
            <w:tcW w:w="2127" w:type="dxa"/>
            <w:tcBorders>
              <w:top w:val="single" w:sz="8" w:space="0" w:color="000000"/>
              <w:left w:val="nil"/>
              <w:bottom w:val="nil"/>
              <w:right w:val="nil"/>
            </w:tcBorders>
            <w:shd w:val="clear" w:color="auto" w:fill="FFFFFF"/>
            <w:vAlign w:val="center"/>
            <w:hideMark/>
          </w:tcPr>
          <w:p w14:paraId="57527C9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Apoptosis and inhibition of proliferation</w:t>
            </w:r>
          </w:p>
        </w:tc>
        <w:tc>
          <w:tcPr>
            <w:tcW w:w="1132" w:type="dxa"/>
            <w:tcBorders>
              <w:top w:val="single" w:sz="8" w:space="0" w:color="000000"/>
              <w:left w:val="nil"/>
              <w:bottom w:val="nil"/>
              <w:right w:val="nil"/>
            </w:tcBorders>
            <w:shd w:val="clear" w:color="auto" w:fill="FFFFFF"/>
            <w:vAlign w:val="center"/>
            <w:hideMark/>
          </w:tcPr>
          <w:p w14:paraId="12835846"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w:t>
            </w:r>
          </w:p>
        </w:tc>
        <w:tc>
          <w:tcPr>
            <w:tcW w:w="1421" w:type="dxa"/>
            <w:tcBorders>
              <w:top w:val="single" w:sz="8" w:space="0" w:color="000000"/>
              <w:left w:val="nil"/>
              <w:bottom w:val="nil"/>
              <w:right w:val="nil"/>
            </w:tcBorders>
            <w:shd w:val="clear" w:color="auto" w:fill="FFFFFF"/>
            <w:vAlign w:val="center"/>
            <w:hideMark/>
          </w:tcPr>
          <w:p w14:paraId="53DE229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Cytoplasm, </w:t>
            </w:r>
            <w:r w:rsidR="00D17E90">
              <w:rPr>
                <w:rFonts w:ascii="Times New Roman" w:hAnsi="Times New Roman"/>
                <w:sz w:val="13"/>
                <w:szCs w:val="13"/>
              </w:rPr>
              <w:t>c</w:t>
            </w:r>
            <w:r w:rsidRPr="006F2325">
              <w:rPr>
                <w:rFonts w:ascii="Times New Roman" w:hAnsi="Times New Roman"/>
                <w:sz w:val="13"/>
                <w:szCs w:val="13"/>
              </w:rPr>
              <w:t>ell cortex</w:t>
            </w:r>
          </w:p>
        </w:tc>
        <w:tc>
          <w:tcPr>
            <w:tcW w:w="993" w:type="dxa"/>
            <w:tcBorders>
              <w:top w:val="single" w:sz="8" w:space="0" w:color="000000"/>
              <w:left w:val="nil"/>
              <w:bottom w:val="nil"/>
              <w:right w:val="nil"/>
            </w:tcBorders>
            <w:shd w:val="clear" w:color="auto" w:fill="FFFFFF"/>
            <w:vAlign w:val="center"/>
            <w:hideMark/>
          </w:tcPr>
          <w:p w14:paraId="0BE2A8D2"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[66]</w:t>
            </w:r>
          </w:p>
        </w:tc>
      </w:tr>
      <w:tr w:rsidR="006F2325" w:rsidRPr="006F2325" w14:paraId="5DBAF605" w14:textId="77777777" w:rsidTr="00F36CC7">
        <w:trPr>
          <w:trHeight w:val="24"/>
          <w:jc w:val="center"/>
        </w:trPr>
        <w:tc>
          <w:tcPr>
            <w:tcW w:w="1270" w:type="dxa"/>
            <w:tcBorders>
              <w:top w:val="nil"/>
              <w:left w:val="nil"/>
              <w:bottom w:val="nil"/>
              <w:right w:val="nil"/>
            </w:tcBorders>
            <w:shd w:val="clear" w:color="auto" w:fill="D9D9D9" w:themeFill="background1" w:themeFillShade="D9"/>
            <w:vAlign w:val="center"/>
            <w:hideMark/>
          </w:tcPr>
          <w:p w14:paraId="0BA6F71A"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PIP2, PIP3, PI3K</w:t>
            </w:r>
          </w:p>
        </w:tc>
        <w:tc>
          <w:tcPr>
            <w:tcW w:w="2417" w:type="dxa"/>
            <w:tcBorders>
              <w:top w:val="nil"/>
              <w:left w:val="nil"/>
              <w:bottom w:val="nil"/>
              <w:right w:val="nil"/>
            </w:tcBorders>
            <w:shd w:val="clear" w:color="auto" w:fill="D9D9D9" w:themeFill="background1" w:themeFillShade="D9"/>
            <w:vAlign w:val="center"/>
            <w:hideMark/>
          </w:tcPr>
          <w:p w14:paraId="1F62611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Direct regulators of AKT</w:t>
            </w:r>
          </w:p>
        </w:tc>
        <w:tc>
          <w:tcPr>
            <w:tcW w:w="2127" w:type="dxa"/>
            <w:tcBorders>
              <w:top w:val="nil"/>
              <w:left w:val="nil"/>
              <w:bottom w:val="nil"/>
              <w:right w:val="nil"/>
            </w:tcBorders>
            <w:shd w:val="clear" w:color="auto" w:fill="D9D9D9" w:themeFill="background1" w:themeFillShade="D9"/>
            <w:vAlign w:val="center"/>
            <w:hideMark/>
          </w:tcPr>
          <w:p w14:paraId="1C343FA6"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Proliferation and anti-apoptosis</w:t>
            </w:r>
          </w:p>
        </w:tc>
        <w:tc>
          <w:tcPr>
            <w:tcW w:w="1132" w:type="dxa"/>
            <w:tcBorders>
              <w:top w:val="nil"/>
              <w:left w:val="nil"/>
              <w:bottom w:val="nil"/>
              <w:right w:val="nil"/>
            </w:tcBorders>
            <w:shd w:val="clear" w:color="auto" w:fill="D9D9D9" w:themeFill="background1" w:themeFillShade="D9"/>
            <w:vAlign w:val="center"/>
            <w:hideMark/>
          </w:tcPr>
          <w:p w14:paraId="1B7A79EE"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Phosphatase and tensin homologue</w:t>
            </w:r>
          </w:p>
        </w:tc>
        <w:tc>
          <w:tcPr>
            <w:tcW w:w="1421" w:type="dxa"/>
            <w:tcBorders>
              <w:top w:val="nil"/>
              <w:left w:val="nil"/>
              <w:bottom w:val="nil"/>
              <w:right w:val="nil"/>
            </w:tcBorders>
            <w:shd w:val="clear" w:color="auto" w:fill="D9D9D9" w:themeFill="background1" w:themeFillShade="D9"/>
            <w:vAlign w:val="center"/>
            <w:hideMark/>
          </w:tcPr>
          <w:p w14:paraId="44A462E5"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Cytoplasm, </w:t>
            </w:r>
            <w:r w:rsidR="00D17E90">
              <w:rPr>
                <w:rFonts w:ascii="Times New Roman" w:hAnsi="Times New Roman"/>
                <w:sz w:val="13"/>
                <w:szCs w:val="13"/>
              </w:rPr>
              <w:t>c</w:t>
            </w:r>
            <w:r w:rsidRPr="006F2325">
              <w:rPr>
                <w:rFonts w:ascii="Times New Roman" w:hAnsi="Times New Roman"/>
                <w:sz w:val="13"/>
                <w:szCs w:val="13"/>
              </w:rPr>
              <w:t>ell cortex</w:t>
            </w:r>
          </w:p>
        </w:tc>
        <w:tc>
          <w:tcPr>
            <w:tcW w:w="993" w:type="dxa"/>
            <w:tcBorders>
              <w:top w:val="nil"/>
              <w:left w:val="nil"/>
              <w:bottom w:val="nil"/>
              <w:right w:val="nil"/>
            </w:tcBorders>
            <w:shd w:val="clear" w:color="auto" w:fill="D9D9D9" w:themeFill="background1" w:themeFillShade="D9"/>
            <w:vAlign w:val="center"/>
            <w:hideMark/>
          </w:tcPr>
          <w:p w14:paraId="7172D74F"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[66]</w:t>
            </w:r>
          </w:p>
        </w:tc>
      </w:tr>
      <w:tr w:rsidR="006F2325" w:rsidRPr="006F2325" w14:paraId="43F3F56F" w14:textId="77777777" w:rsidTr="00F36CC7">
        <w:trPr>
          <w:trHeight w:val="24"/>
          <w:jc w:val="center"/>
        </w:trPr>
        <w:tc>
          <w:tcPr>
            <w:tcW w:w="1270" w:type="dxa"/>
            <w:tcBorders>
              <w:top w:val="nil"/>
              <w:left w:val="nil"/>
              <w:bottom w:val="nil"/>
              <w:right w:val="nil"/>
            </w:tcBorders>
            <w:shd w:val="clear" w:color="auto" w:fill="FFFFFF"/>
            <w:vAlign w:val="center"/>
            <w:hideMark/>
          </w:tcPr>
          <w:p w14:paraId="687D15A0"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AKT</w:t>
            </w:r>
          </w:p>
        </w:tc>
        <w:tc>
          <w:tcPr>
            <w:tcW w:w="2417" w:type="dxa"/>
            <w:tcBorders>
              <w:top w:val="nil"/>
              <w:left w:val="nil"/>
              <w:bottom w:val="nil"/>
              <w:right w:val="nil"/>
            </w:tcBorders>
            <w:shd w:val="clear" w:color="auto" w:fill="FFFFFF"/>
            <w:vAlign w:val="center"/>
            <w:hideMark/>
          </w:tcPr>
          <w:p w14:paraId="21B385FA"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Upstream regulator of mTORC1, </w:t>
            </w:r>
            <w:r w:rsidR="00A44A79" w:rsidRPr="006F2325">
              <w:rPr>
                <w:rFonts w:ascii="Times New Roman" w:hAnsi="Times New Roman"/>
                <w:sz w:val="13"/>
                <w:szCs w:val="13"/>
              </w:rPr>
              <w:t>Forkhead box protein O1</w:t>
            </w:r>
            <w:r w:rsidRPr="006F2325">
              <w:rPr>
                <w:rFonts w:ascii="Times New Roman" w:hAnsi="Times New Roman"/>
                <w:sz w:val="13"/>
                <w:szCs w:val="13"/>
              </w:rPr>
              <w:t>, and GSK3α/GSK3β</w:t>
            </w:r>
          </w:p>
        </w:tc>
        <w:tc>
          <w:tcPr>
            <w:tcW w:w="2127" w:type="dxa"/>
            <w:tcBorders>
              <w:top w:val="nil"/>
              <w:left w:val="nil"/>
              <w:bottom w:val="nil"/>
              <w:right w:val="nil"/>
            </w:tcBorders>
            <w:shd w:val="clear" w:color="auto" w:fill="FFFFFF"/>
            <w:vAlign w:val="center"/>
            <w:hideMark/>
          </w:tcPr>
          <w:p w14:paraId="7F277C0B"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Proliferation and anti-apoptosis</w:t>
            </w:r>
          </w:p>
        </w:tc>
        <w:tc>
          <w:tcPr>
            <w:tcW w:w="1132" w:type="dxa"/>
            <w:tcBorders>
              <w:top w:val="nil"/>
              <w:left w:val="nil"/>
              <w:bottom w:val="nil"/>
              <w:right w:val="nil"/>
            </w:tcBorders>
            <w:shd w:val="clear" w:color="auto" w:fill="FFFFFF"/>
            <w:vAlign w:val="center"/>
            <w:hideMark/>
          </w:tcPr>
          <w:p w14:paraId="28CEA2FD"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PIP3, PI3K</w:t>
            </w:r>
          </w:p>
        </w:tc>
        <w:tc>
          <w:tcPr>
            <w:tcW w:w="1421" w:type="dxa"/>
            <w:tcBorders>
              <w:top w:val="nil"/>
              <w:left w:val="nil"/>
              <w:bottom w:val="nil"/>
              <w:right w:val="nil"/>
            </w:tcBorders>
            <w:shd w:val="clear" w:color="auto" w:fill="FFFFFF"/>
            <w:vAlign w:val="center"/>
            <w:hideMark/>
          </w:tcPr>
          <w:p w14:paraId="1A4F9A74"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Cytoplasm, </w:t>
            </w:r>
            <w:r w:rsidR="00D17E90">
              <w:rPr>
                <w:rFonts w:ascii="Times New Roman" w:hAnsi="Times New Roman"/>
                <w:sz w:val="13"/>
                <w:szCs w:val="13"/>
              </w:rPr>
              <w:t>n</w:t>
            </w:r>
            <w:r w:rsidRPr="006F2325">
              <w:rPr>
                <w:rFonts w:ascii="Times New Roman" w:hAnsi="Times New Roman"/>
                <w:sz w:val="13"/>
                <w:szCs w:val="13"/>
              </w:rPr>
              <w:t xml:space="preserve">ucleus </w:t>
            </w:r>
          </w:p>
        </w:tc>
        <w:tc>
          <w:tcPr>
            <w:tcW w:w="993" w:type="dxa"/>
            <w:tcBorders>
              <w:top w:val="nil"/>
              <w:left w:val="nil"/>
              <w:bottom w:val="nil"/>
              <w:right w:val="nil"/>
            </w:tcBorders>
            <w:shd w:val="clear" w:color="auto" w:fill="FFFFFF"/>
            <w:vAlign w:val="center"/>
            <w:hideMark/>
          </w:tcPr>
          <w:p w14:paraId="7AE5261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[66]</w:t>
            </w:r>
          </w:p>
        </w:tc>
      </w:tr>
      <w:tr w:rsidR="006F2325" w:rsidRPr="006F2325" w14:paraId="2F797DB9" w14:textId="77777777" w:rsidTr="00F36CC7">
        <w:trPr>
          <w:trHeight w:val="258"/>
          <w:jc w:val="center"/>
        </w:trPr>
        <w:tc>
          <w:tcPr>
            <w:tcW w:w="1270" w:type="dxa"/>
            <w:tcBorders>
              <w:top w:val="nil"/>
              <w:left w:val="nil"/>
              <w:bottom w:val="nil"/>
              <w:right w:val="nil"/>
            </w:tcBorders>
            <w:shd w:val="clear" w:color="auto" w:fill="D9D9D9" w:themeFill="background1" w:themeFillShade="D9"/>
            <w:vAlign w:val="center"/>
            <w:hideMark/>
          </w:tcPr>
          <w:p w14:paraId="011B8782"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Tuberous sclerosis complex 2, mTOR complex 1 (mTORC1)</w:t>
            </w:r>
          </w:p>
        </w:tc>
        <w:tc>
          <w:tcPr>
            <w:tcW w:w="2417" w:type="dxa"/>
            <w:tcBorders>
              <w:top w:val="nil"/>
              <w:left w:val="nil"/>
              <w:bottom w:val="nil"/>
              <w:right w:val="nil"/>
            </w:tcBorders>
            <w:shd w:val="clear" w:color="auto" w:fill="D9D9D9" w:themeFill="background1" w:themeFillShade="D9"/>
            <w:vAlign w:val="center"/>
            <w:hideMark/>
          </w:tcPr>
          <w:p w14:paraId="182A3416"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Substrates of AKT</w:t>
            </w:r>
          </w:p>
        </w:tc>
        <w:tc>
          <w:tcPr>
            <w:tcW w:w="2127" w:type="dxa"/>
            <w:tcBorders>
              <w:top w:val="nil"/>
              <w:left w:val="nil"/>
              <w:bottom w:val="nil"/>
              <w:right w:val="nil"/>
            </w:tcBorders>
            <w:shd w:val="clear" w:color="auto" w:fill="D9D9D9" w:themeFill="background1" w:themeFillShade="D9"/>
            <w:vAlign w:val="center"/>
            <w:hideMark/>
          </w:tcPr>
          <w:p w14:paraId="261CE9C4" w14:textId="3B880723"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 </w:t>
            </w:r>
            <w:r w:rsidR="0080446F">
              <w:rPr>
                <w:rFonts w:ascii="Times New Roman" w:hAnsi="Times New Roman" w:hint="eastAsia"/>
                <w:sz w:val="13"/>
                <w:szCs w:val="13"/>
              </w:rPr>
              <w:t>G</w:t>
            </w:r>
            <w:r w:rsidRPr="006F2325">
              <w:rPr>
                <w:rFonts w:ascii="Times New Roman" w:hAnsi="Times New Roman"/>
                <w:sz w:val="13"/>
                <w:szCs w:val="13"/>
              </w:rPr>
              <w:t>rowth and anti-apoptosis</w:t>
            </w:r>
          </w:p>
        </w:tc>
        <w:tc>
          <w:tcPr>
            <w:tcW w:w="1132" w:type="dxa"/>
            <w:tcBorders>
              <w:top w:val="nil"/>
              <w:left w:val="nil"/>
              <w:bottom w:val="nil"/>
              <w:right w:val="nil"/>
            </w:tcBorders>
            <w:shd w:val="clear" w:color="auto" w:fill="D9D9D9" w:themeFill="background1" w:themeFillShade="D9"/>
            <w:vAlign w:val="center"/>
            <w:hideMark/>
          </w:tcPr>
          <w:p w14:paraId="3E40C4E7"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AKT</w:t>
            </w:r>
          </w:p>
        </w:tc>
        <w:tc>
          <w:tcPr>
            <w:tcW w:w="1421" w:type="dxa"/>
            <w:tcBorders>
              <w:top w:val="nil"/>
              <w:left w:val="nil"/>
              <w:bottom w:val="nil"/>
              <w:right w:val="nil"/>
            </w:tcBorders>
            <w:shd w:val="clear" w:color="auto" w:fill="D9D9D9" w:themeFill="background1" w:themeFillShade="D9"/>
            <w:vAlign w:val="center"/>
            <w:hideMark/>
          </w:tcPr>
          <w:p w14:paraId="55CEB90E"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Cytoplasm</w:t>
            </w:r>
          </w:p>
        </w:tc>
        <w:tc>
          <w:tcPr>
            <w:tcW w:w="993" w:type="dxa"/>
            <w:tcBorders>
              <w:top w:val="nil"/>
              <w:left w:val="nil"/>
              <w:bottom w:val="nil"/>
              <w:right w:val="nil"/>
            </w:tcBorders>
            <w:shd w:val="clear" w:color="auto" w:fill="D9D9D9" w:themeFill="background1" w:themeFillShade="D9"/>
            <w:vAlign w:val="center"/>
            <w:hideMark/>
          </w:tcPr>
          <w:p w14:paraId="769E3C3A"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[43]</w:t>
            </w:r>
          </w:p>
        </w:tc>
      </w:tr>
      <w:tr w:rsidR="006F2325" w:rsidRPr="006F2325" w14:paraId="5302DBD7" w14:textId="77777777" w:rsidTr="00F36CC7">
        <w:trPr>
          <w:trHeight w:val="82"/>
          <w:jc w:val="center"/>
        </w:trPr>
        <w:tc>
          <w:tcPr>
            <w:tcW w:w="1270" w:type="dxa"/>
            <w:tcBorders>
              <w:top w:val="nil"/>
              <w:left w:val="nil"/>
              <w:bottom w:val="nil"/>
              <w:right w:val="nil"/>
            </w:tcBorders>
            <w:shd w:val="clear" w:color="auto" w:fill="FFFFFF"/>
            <w:vAlign w:val="center"/>
            <w:hideMark/>
          </w:tcPr>
          <w:p w14:paraId="62D8F766"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Forkhead box protein O1</w:t>
            </w:r>
          </w:p>
        </w:tc>
        <w:tc>
          <w:tcPr>
            <w:tcW w:w="2417" w:type="dxa"/>
            <w:tcBorders>
              <w:top w:val="nil"/>
              <w:left w:val="nil"/>
              <w:bottom w:val="nil"/>
              <w:right w:val="nil"/>
            </w:tcBorders>
            <w:shd w:val="clear" w:color="auto" w:fill="FFFFFF"/>
            <w:vAlign w:val="center"/>
            <w:hideMark/>
          </w:tcPr>
          <w:p w14:paraId="3897F20D"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Inhibited by AKT</w:t>
            </w:r>
          </w:p>
        </w:tc>
        <w:tc>
          <w:tcPr>
            <w:tcW w:w="2127" w:type="dxa"/>
            <w:tcBorders>
              <w:top w:val="nil"/>
              <w:left w:val="nil"/>
              <w:bottom w:val="nil"/>
              <w:right w:val="nil"/>
            </w:tcBorders>
            <w:shd w:val="clear" w:color="auto" w:fill="FFFFFF"/>
            <w:vAlign w:val="center"/>
            <w:hideMark/>
          </w:tcPr>
          <w:p w14:paraId="382DA913"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Apoptosis and inhibition of proliferation</w:t>
            </w:r>
          </w:p>
        </w:tc>
        <w:tc>
          <w:tcPr>
            <w:tcW w:w="1132" w:type="dxa"/>
            <w:tcBorders>
              <w:top w:val="nil"/>
              <w:left w:val="nil"/>
              <w:bottom w:val="nil"/>
              <w:right w:val="nil"/>
            </w:tcBorders>
            <w:shd w:val="clear" w:color="auto" w:fill="FFFFFF"/>
            <w:vAlign w:val="center"/>
            <w:hideMark/>
          </w:tcPr>
          <w:p w14:paraId="4ABC1B43"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AKT</w:t>
            </w:r>
          </w:p>
        </w:tc>
        <w:tc>
          <w:tcPr>
            <w:tcW w:w="1421" w:type="dxa"/>
            <w:tcBorders>
              <w:top w:val="nil"/>
              <w:left w:val="nil"/>
              <w:bottom w:val="nil"/>
              <w:right w:val="nil"/>
            </w:tcBorders>
            <w:shd w:val="clear" w:color="auto" w:fill="FFFFFF"/>
            <w:vAlign w:val="center"/>
            <w:hideMark/>
          </w:tcPr>
          <w:p w14:paraId="2D6EBF9E"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Cytoplasm</w:t>
            </w:r>
            <w:r w:rsidR="00D17E90">
              <w:rPr>
                <w:rFonts w:ascii="Times New Roman" w:hAnsi="Times New Roman"/>
                <w:sz w:val="13"/>
                <w:szCs w:val="13"/>
              </w:rPr>
              <w:t xml:space="preserve"> and</w:t>
            </w:r>
            <w:r w:rsidRPr="006F2325">
              <w:rPr>
                <w:rFonts w:ascii="Times New Roman" w:hAnsi="Times New Roman"/>
                <w:sz w:val="13"/>
                <w:szCs w:val="13"/>
              </w:rPr>
              <w:t xml:space="preserve"> </w:t>
            </w:r>
            <w:r w:rsidR="00D17E90">
              <w:rPr>
                <w:rFonts w:ascii="Times New Roman" w:hAnsi="Times New Roman"/>
                <w:sz w:val="13"/>
                <w:szCs w:val="13"/>
              </w:rPr>
              <w:t>n</w:t>
            </w:r>
            <w:r w:rsidRPr="006F2325">
              <w:rPr>
                <w:rFonts w:ascii="Times New Roman" w:hAnsi="Times New Roman"/>
                <w:sz w:val="13"/>
                <w:szCs w:val="13"/>
              </w:rPr>
              <w:t>ucleus</w:t>
            </w:r>
          </w:p>
        </w:tc>
        <w:tc>
          <w:tcPr>
            <w:tcW w:w="993" w:type="dxa"/>
            <w:tcBorders>
              <w:top w:val="nil"/>
              <w:left w:val="nil"/>
              <w:bottom w:val="nil"/>
              <w:right w:val="nil"/>
            </w:tcBorders>
            <w:shd w:val="clear" w:color="auto" w:fill="FFFFFF"/>
            <w:vAlign w:val="center"/>
            <w:hideMark/>
          </w:tcPr>
          <w:p w14:paraId="0CB9E7EB"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[66]</w:t>
            </w:r>
          </w:p>
        </w:tc>
      </w:tr>
      <w:tr w:rsidR="006F2325" w:rsidRPr="006F2325" w14:paraId="2B8FB90E" w14:textId="77777777" w:rsidTr="00F36CC7">
        <w:trPr>
          <w:trHeight w:val="24"/>
          <w:jc w:val="center"/>
        </w:trPr>
        <w:tc>
          <w:tcPr>
            <w:tcW w:w="1270" w:type="dxa"/>
            <w:tcBorders>
              <w:top w:val="nil"/>
              <w:left w:val="nil"/>
              <w:bottom w:val="nil"/>
              <w:right w:val="nil"/>
            </w:tcBorders>
            <w:shd w:val="clear" w:color="auto" w:fill="D9D9D9" w:themeFill="background1" w:themeFillShade="D9"/>
            <w:vAlign w:val="center"/>
            <w:hideMark/>
          </w:tcPr>
          <w:p w14:paraId="2FB8AD29"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eastAsia="Times New Roman" w:hAnsi="Times New Roman"/>
                <w:color w:val="000000"/>
                <w:sz w:val="13"/>
                <w:szCs w:val="13"/>
              </w:rPr>
              <w:t>Cyclic AMP-responsive element-binding protein 1</w:t>
            </w:r>
          </w:p>
        </w:tc>
        <w:tc>
          <w:tcPr>
            <w:tcW w:w="2417" w:type="dxa"/>
            <w:tcBorders>
              <w:top w:val="nil"/>
              <w:left w:val="nil"/>
              <w:bottom w:val="nil"/>
              <w:right w:val="nil"/>
            </w:tcBorders>
            <w:shd w:val="clear" w:color="auto" w:fill="D9D9D9" w:themeFill="background1" w:themeFillShade="D9"/>
            <w:vAlign w:val="center"/>
            <w:hideMark/>
          </w:tcPr>
          <w:p w14:paraId="5AD7C081"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Transcription of Bcl-2</w:t>
            </w:r>
          </w:p>
        </w:tc>
        <w:tc>
          <w:tcPr>
            <w:tcW w:w="2127" w:type="dxa"/>
            <w:tcBorders>
              <w:top w:val="nil"/>
              <w:left w:val="nil"/>
              <w:bottom w:val="nil"/>
              <w:right w:val="nil"/>
            </w:tcBorders>
            <w:shd w:val="clear" w:color="auto" w:fill="D9D9D9" w:themeFill="background1" w:themeFillShade="D9"/>
            <w:vAlign w:val="center"/>
            <w:hideMark/>
          </w:tcPr>
          <w:p w14:paraId="22010110"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Proliferation and anti-apoptosis</w:t>
            </w:r>
          </w:p>
        </w:tc>
        <w:tc>
          <w:tcPr>
            <w:tcW w:w="1132" w:type="dxa"/>
            <w:tcBorders>
              <w:top w:val="nil"/>
              <w:left w:val="nil"/>
              <w:bottom w:val="nil"/>
              <w:right w:val="nil"/>
            </w:tcBorders>
            <w:shd w:val="clear" w:color="auto" w:fill="D9D9D9" w:themeFill="background1" w:themeFillShade="D9"/>
            <w:vAlign w:val="center"/>
            <w:hideMark/>
          </w:tcPr>
          <w:p w14:paraId="1B928161"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AKT</w:t>
            </w:r>
          </w:p>
        </w:tc>
        <w:tc>
          <w:tcPr>
            <w:tcW w:w="1421" w:type="dxa"/>
            <w:tcBorders>
              <w:top w:val="nil"/>
              <w:left w:val="nil"/>
              <w:bottom w:val="nil"/>
              <w:right w:val="nil"/>
            </w:tcBorders>
            <w:shd w:val="clear" w:color="auto" w:fill="D9D9D9" w:themeFill="background1" w:themeFillShade="D9"/>
            <w:vAlign w:val="center"/>
            <w:hideMark/>
          </w:tcPr>
          <w:p w14:paraId="5E7A336A"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 xml:space="preserve">Nucleus, </w:t>
            </w:r>
            <w:r w:rsidR="00D17E90">
              <w:rPr>
                <w:rFonts w:ascii="Times New Roman" w:hAnsi="Times New Roman"/>
                <w:sz w:val="13"/>
                <w:szCs w:val="13"/>
              </w:rPr>
              <w:t>G</w:t>
            </w:r>
            <w:r w:rsidRPr="006F2325">
              <w:rPr>
                <w:rFonts w:ascii="Times New Roman" w:hAnsi="Times New Roman"/>
                <w:sz w:val="13"/>
                <w:szCs w:val="13"/>
              </w:rPr>
              <w:t xml:space="preserve">olgi apparatus, </w:t>
            </w:r>
            <w:r w:rsidR="00D17E90">
              <w:rPr>
                <w:rFonts w:ascii="Times New Roman" w:hAnsi="Times New Roman"/>
                <w:sz w:val="13"/>
                <w:szCs w:val="13"/>
              </w:rPr>
              <w:t>e</w:t>
            </w:r>
            <w:r w:rsidRPr="006F2325">
              <w:rPr>
                <w:rFonts w:ascii="Times New Roman" w:hAnsi="Times New Roman"/>
                <w:sz w:val="13"/>
                <w:szCs w:val="13"/>
              </w:rPr>
              <w:t>ndoplasmic reticulum membrane</w:t>
            </w:r>
          </w:p>
        </w:tc>
        <w:tc>
          <w:tcPr>
            <w:tcW w:w="993" w:type="dxa"/>
            <w:tcBorders>
              <w:top w:val="nil"/>
              <w:left w:val="nil"/>
              <w:bottom w:val="nil"/>
              <w:right w:val="nil"/>
            </w:tcBorders>
            <w:shd w:val="clear" w:color="auto" w:fill="D9D9D9" w:themeFill="background1" w:themeFillShade="D9"/>
            <w:vAlign w:val="center"/>
            <w:hideMark/>
          </w:tcPr>
          <w:p w14:paraId="111346C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[95]</w:t>
            </w:r>
          </w:p>
        </w:tc>
      </w:tr>
      <w:tr w:rsidR="006F2325" w:rsidRPr="006F2325" w14:paraId="6F303C30" w14:textId="77777777" w:rsidTr="00F36CC7">
        <w:trPr>
          <w:trHeight w:val="24"/>
          <w:jc w:val="center"/>
        </w:trPr>
        <w:tc>
          <w:tcPr>
            <w:tcW w:w="1270" w:type="dxa"/>
            <w:tcBorders>
              <w:top w:val="nil"/>
              <w:left w:val="nil"/>
              <w:bottom w:val="nil"/>
              <w:right w:val="nil"/>
            </w:tcBorders>
            <w:shd w:val="clear" w:color="auto" w:fill="FFFFFF"/>
            <w:vAlign w:val="center"/>
            <w:hideMark/>
          </w:tcPr>
          <w:p w14:paraId="43BB29B9"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GSK3β</w:t>
            </w:r>
          </w:p>
        </w:tc>
        <w:tc>
          <w:tcPr>
            <w:tcW w:w="2417" w:type="dxa"/>
            <w:tcBorders>
              <w:top w:val="nil"/>
              <w:left w:val="nil"/>
              <w:bottom w:val="nil"/>
              <w:right w:val="nil"/>
            </w:tcBorders>
            <w:shd w:val="clear" w:color="auto" w:fill="FFFFFF"/>
            <w:vAlign w:val="center"/>
            <w:hideMark/>
          </w:tcPr>
          <w:p w14:paraId="7E3C7DAA"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Activated by AKT, inhibiting GYS1/2 to reduce Glycogen synthesis, inhibiting MYC</w:t>
            </w:r>
          </w:p>
        </w:tc>
        <w:tc>
          <w:tcPr>
            <w:tcW w:w="2127" w:type="dxa"/>
            <w:tcBorders>
              <w:top w:val="nil"/>
              <w:left w:val="nil"/>
              <w:bottom w:val="nil"/>
              <w:right w:val="nil"/>
            </w:tcBorders>
            <w:shd w:val="clear" w:color="auto" w:fill="FFFFFF"/>
            <w:vAlign w:val="center"/>
            <w:hideMark/>
          </w:tcPr>
          <w:p w14:paraId="71ADCC54"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Apoptosis and anti-proliferation</w:t>
            </w:r>
          </w:p>
        </w:tc>
        <w:tc>
          <w:tcPr>
            <w:tcW w:w="1132" w:type="dxa"/>
            <w:tcBorders>
              <w:top w:val="nil"/>
              <w:left w:val="nil"/>
              <w:bottom w:val="nil"/>
              <w:right w:val="nil"/>
            </w:tcBorders>
            <w:shd w:val="clear" w:color="auto" w:fill="FFFFFF"/>
            <w:vAlign w:val="center"/>
            <w:hideMark/>
          </w:tcPr>
          <w:p w14:paraId="3384B02C"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AKT</w:t>
            </w:r>
          </w:p>
        </w:tc>
        <w:tc>
          <w:tcPr>
            <w:tcW w:w="1421" w:type="dxa"/>
            <w:tcBorders>
              <w:top w:val="nil"/>
              <w:left w:val="nil"/>
              <w:bottom w:val="nil"/>
              <w:right w:val="nil"/>
            </w:tcBorders>
            <w:shd w:val="clear" w:color="auto" w:fill="FFFFFF"/>
            <w:vAlign w:val="center"/>
            <w:hideMark/>
          </w:tcPr>
          <w:p w14:paraId="046752FE"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sz w:val="13"/>
                <w:szCs w:val="13"/>
              </w:rPr>
              <w:t>Cytoplasm</w:t>
            </w:r>
          </w:p>
        </w:tc>
        <w:tc>
          <w:tcPr>
            <w:tcW w:w="993" w:type="dxa"/>
            <w:tcBorders>
              <w:top w:val="nil"/>
              <w:left w:val="nil"/>
              <w:bottom w:val="nil"/>
              <w:right w:val="nil"/>
            </w:tcBorders>
            <w:shd w:val="clear" w:color="auto" w:fill="FFFFFF"/>
            <w:vAlign w:val="center"/>
            <w:hideMark/>
          </w:tcPr>
          <w:p w14:paraId="0AE786EF" w14:textId="77777777" w:rsidR="006F2325" w:rsidRPr="006F2325" w:rsidRDefault="006F2325" w:rsidP="006F2325">
            <w:pPr>
              <w:spacing w:before="100" w:beforeAutospacing="1" w:after="100" w:afterAutospacing="1" w:line="0" w:lineRule="atLeast"/>
              <w:jc w:val="center"/>
              <w:rPr>
                <w:rFonts w:ascii="Times New Roman" w:hAnsi="Times New Roman"/>
                <w:sz w:val="13"/>
                <w:szCs w:val="13"/>
              </w:rPr>
            </w:pPr>
            <w:r w:rsidRPr="006F2325">
              <w:rPr>
                <w:rFonts w:ascii="Times New Roman" w:hAnsi="Times New Roman"/>
                <w:noProof/>
                <w:sz w:val="13"/>
                <w:szCs w:val="13"/>
              </w:rPr>
              <w:t>[49]</w:t>
            </w:r>
          </w:p>
        </w:tc>
      </w:tr>
      <w:tr w:rsidR="006F2325" w:rsidRPr="006F2325" w14:paraId="07122A47" w14:textId="77777777" w:rsidTr="00F36CC7">
        <w:trPr>
          <w:trHeight w:val="24"/>
          <w:jc w:val="center"/>
        </w:trPr>
        <w:tc>
          <w:tcPr>
            <w:tcW w:w="1270" w:type="dxa"/>
            <w:tcBorders>
              <w:top w:val="nil"/>
              <w:left w:val="nil"/>
              <w:bottom w:val="nil"/>
              <w:right w:val="nil"/>
            </w:tcBorders>
            <w:shd w:val="clear" w:color="auto" w:fill="D9D9D9" w:themeFill="background1" w:themeFillShade="D9"/>
            <w:vAlign w:val="center"/>
            <w:hideMark/>
          </w:tcPr>
          <w:p w14:paraId="2881F493"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hAnsi="Times New Roman"/>
                <w:color w:val="000000"/>
                <w:sz w:val="13"/>
                <w:szCs w:val="13"/>
              </w:rPr>
              <w:t>p</w:t>
            </w:r>
            <w:r w:rsidRPr="006F2325">
              <w:rPr>
                <w:rFonts w:ascii="Times New Roman" w:eastAsia="Times New Roman" w:hAnsi="Times New Roman"/>
                <w:color w:val="000000"/>
                <w:sz w:val="13"/>
                <w:szCs w:val="13"/>
              </w:rPr>
              <w:t xml:space="preserve">70S6K, </w:t>
            </w:r>
            <w:r w:rsidRPr="006F2325">
              <w:rPr>
                <w:rFonts w:ascii="Times New Roman" w:hAnsi="Times New Roman"/>
                <w:color w:val="000000"/>
                <w:sz w:val="13"/>
                <w:szCs w:val="13"/>
              </w:rPr>
              <w:t>r</w:t>
            </w:r>
            <w:r w:rsidRPr="006F2325">
              <w:rPr>
                <w:rFonts w:ascii="Times New Roman" w:eastAsia="Times New Roman" w:hAnsi="Times New Roman"/>
                <w:color w:val="000000"/>
                <w:sz w:val="13"/>
                <w:szCs w:val="13"/>
              </w:rPr>
              <w:t>pS6</w:t>
            </w:r>
          </w:p>
        </w:tc>
        <w:tc>
          <w:tcPr>
            <w:tcW w:w="2417" w:type="dxa"/>
            <w:tcBorders>
              <w:top w:val="nil"/>
              <w:left w:val="nil"/>
              <w:bottom w:val="nil"/>
              <w:right w:val="nil"/>
            </w:tcBorders>
            <w:shd w:val="clear" w:color="auto" w:fill="D9D9D9" w:themeFill="background1" w:themeFillShade="D9"/>
            <w:vAlign w:val="center"/>
            <w:hideMark/>
          </w:tcPr>
          <w:p w14:paraId="1C907E0D"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Substrate of AKT1/mTORC1, related to Glucose homeostasis and protein synthesis</w:t>
            </w:r>
          </w:p>
        </w:tc>
        <w:tc>
          <w:tcPr>
            <w:tcW w:w="2127" w:type="dxa"/>
            <w:tcBorders>
              <w:top w:val="nil"/>
              <w:left w:val="nil"/>
              <w:bottom w:val="nil"/>
              <w:right w:val="nil"/>
            </w:tcBorders>
            <w:shd w:val="clear" w:color="auto" w:fill="D9D9D9" w:themeFill="background1" w:themeFillShade="D9"/>
            <w:vAlign w:val="center"/>
            <w:hideMark/>
          </w:tcPr>
          <w:p w14:paraId="6E40799C"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Proliferation and anti-apoptosis</w:t>
            </w:r>
          </w:p>
        </w:tc>
        <w:tc>
          <w:tcPr>
            <w:tcW w:w="1132" w:type="dxa"/>
            <w:tcBorders>
              <w:top w:val="nil"/>
              <w:left w:val="nil"/>
              <w:bottom w:val="nil"/>
              <w:right w:val="nil"/>
            </w:tcBorders>
            <w:shd w:val="clear" w:color="auto" w:fill="D9D9D9" w:themeFill="background1" w:themeFillShade="D9"/>
            <w:vAlign w:val="center"/>
            <w:hideMark/>
          </w:tcPr>
          <w:p w14:paraId="3A863B0D"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mTORC1</w:t>
            </w:r>
          </w:p>
        </w:tc>
        <w:tc>
          <w:tcPr>
            <w:tcW w:w="1421" w:type="dxa"/>
            <w:tcBorders>
              <w:top w:val="nil"/>
              <w:left w:val="nil"/>
              <w:bottom w:val="nil"/>
              <w:right w:val="nil"/>
            </w:tcBorders>
            <w:shd w:val="clear" w:color="auto" w:fill="D9D9D9" w:themeFill="background1" w:themeFillShade="D9"/>
            <w:vAlign w:val="center"/>
            <w:hideMark/>
          </w:tcPr>
          <w:p w14:paraId="4A94326C"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Cytoplasm</w:t>
            </w:r>
          </w:p>
        </w:tc>
        <w:tc>
          <w:tcPr>
            <w:tcW w:w="993" w:type="dxa"/>
            <w:tcBorders>
              <w:top w:val="nil"/>
              <w:left w:val="nil"/>
              <w:bottom w:val="nil"/>
              <w:right w:val="nil"/>
            </w:tcBorders>
            <w:shd w:val="clear" w:color="auto" w:fill="D9D9D9" w:themeFill="background1" w:themeFillShade="D9"/>
            <w:vAlign w:val="center"/>
            <w:hideMark/>
          </w:tcPr>
          <w:p w14:paraId="325F24C3"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[115]</w:t>
            </w:r>
          </w:p>
        </w:tc>
      </w:tr>
      <w:tr w:rsidR="006F2325" w:rsidRPr="006F2325" w14:paraId="505337BB" w14:textId="77777777" w:rsidTr="00F36CC7">
        <w:trPr>
          <w:trHeight w:val="24"/>
          <w:jc w:val="center"/>
        </w:trPr>
        <w:tc>
          <w:tcPr>
            <w:tcW w:w="1270" w:type="dxa"/>
            <w:tcBorders>
              <w:top w:val="nil"/>
              <w:left w:val="nil"/>
              <w:bottom w:val="nil"/>
              <w:right w:val="nil"/>
            </w:tcBorders>
            <w:shd w:val="clear" w:color="auto" w:fill="FFFFFF"/>
            <w:vAlign w:val="center"/>
            <w:hideMark/>
          </w:tcPr>
          <w:p w14:paraId="5EECACAC"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eIF5A</w:t>
            </w:r>
            <w:r w:rsidRPr="006F2325">
              <w:rPr>
                <w:rFonts w:ascii="Times New Roman" w:eastAsia="宋体" w:hAnsi="Times New Roman"/>
                <w:color w:val="000000"/>
                <w:sz w:val="13"/>
                <w:szCs w:val="13"/>
              </w:rPr>
              <w:t xml:space="preserve">, </w:t>
            </w:r>
            <w:r w:rsidRPr="006F2325">
              <w:rPr>
                <w:rFonts w:ascii="Times New Roman" w:eastAsia="Times New Roman" w:hAnsi="Times New Roman"/>
                <w:color w:val="000000"/>
                <w:sz w:val="13"/>
                <w:szCs w:val="13"/>
              </w:rPr>
              <w:t>Eukaryotic translation initiation factor 4E-binding protein 1</w:t>
            </w:r>
          </w:p>
        </w:tc>
        <w:tc>
          <w:tcPr>
            <w:tcW w:w="2417" w:type="dxa"/>
            <w:tcBorders>
              <w:top w:val="nil"/>
              <w:left w:val="nil"/>
              <w:bottom w:val="nil"/>
              <w:right w:val="nil"/>
            </w:tcBorders>
            <w:shd w:val="clear" w:color="auto" w:fill="FFFFFF"/>
            <w:vAlign w:val="center"/>
            <w:hideMark/>
          </w:tcPr>
          <w:p w14:paraId="38A93C3E"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 xml:space="preserve">Target of </w:t>
            </w:r>
            <w:r w:rsidRPr="006F2325">
              <w:rPr>
                <w:rFonts w:ascii="Times New Roman" w:hAnsi="Times New Roman"/>
                <w:color w:val="000000"/>
                <w:sz w:val="13"/>
                <w:szCs w:val="13"/>
              </w:rPr>
              <w:t>p</w:t>
            </w:r>
            <w:r w:rsidRPr="006F2325">
              <w:rPr>
                <w:rFonts w:ascii="Times New Roman" w:eastAsia="Times New Roman" w:hAnsi="Times New Roman"/>
                <w:color w:val="000000"/>
                <w:sz w:val="13"/>
                <w:szCs w:val="13"/>
              </w:rPr>
              <w:t>70S6K</w:t>
            </w:r>
          </w:p>
        </w:tc>
        <w:tc>
          <w:tcPr>
            <w:tcW w:w="2127" w:type="dxa"/>
            <w:tcBorders>
              <w:top w:val="nil"/>
              <w:left w:val="nil"/>
              <w:bottom w:val="nil"/>
              <w:right w:val="nil"/>
            </w:tcBorders>
            <w:shd w:val="clear" w:color="auto" w:fill="FFFFFF"/>
            <w:vAlign w:val="center"/>
            <w:hideMark/>
          </w:tcPr>
          <w:p w14:paraId="4F78F6BB"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Proliferation and anti-apoptosis</w:t>
            </w:r>
          </w:p>
        </w:tc>
        <w:tc>
          <w:tcPr>
            <w:tcW w:w="1132" w:type="dxa"/>
            <w:tcBorders>
              <w:top w:val="nil"/>
              <w:left w:val="nil"/>
              <w:bottom w:val="nil"/>
              <w:right w:val="nil"/>
            </w:tcBorders>
            <w:shd w:val="clear" w:color="auto" w:fill="FFFFFF"/>
            <w:vAlign w:val="center"/>
            <w:hideMark/>
          </w:tcPr>
          <w:p w14:paraId="6E9E4676"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hAnsi="Times New Roman"/>
                <w:color w:val="000000"/>
                <w:sz w:val="13"/>
                <w:szCs w:val="13"/>
              </w:rPr>
              <w:t>p</w:t>
            </w:r>
            <w:r w:rsidRPr="006F2325">
              <w:rPr>
                <w:rFonts w:ascii="Times New Roman" w:eastAsia="Times New Roman" w:hAnsi="Times New Roman"/>
                <w:color w:val="000000"/>
                <w:sz w:val="13"/>
                <w:szCs w:val="13"/>
              </w:rPr>
              <w:t xml:space="preserve">70S6K, </w:t>
            </w:r>
            <w:r w:rsidRPr="006F2325">
              <w:rPr>
                <w:rFonts w:ascii="Times New Roman" w:hAnsi="Times New Roman"/>
                <w:color w:val="000000"/>
                <w:sz w:val="13"/>
                <w:szCs w:val="13"/>
              </w:rPr>
              <w:t>rp</w:t>
            </w:r>
            <w:r w:rsidRPr="006F2325">
              <w:rPr>
                <w:rFonts w:ascii="Times New Roman" w:eastAsia="Times New Roman" w:hAnsi="Times New Roman"/>
                <w:color w:val="000000"/>
                <w:sz w:val="13"/>
                <w:szCs w:val="13"/>
              </w:rPr>
              <w:t>S6</w:t>
            </w:r>
          </w:p>
        </w:tc>
        <w:tc>
          <w:tcPr>
            <w:tcW w:w="1421" w:type="dxa"/>
            <w:tcBorders>
              <w:top w:val="nil"/>
              <w:left w:val="nil"/>
              <w:bottom w:val="nil"/>
              <w:right w:val="nil"/>
            </w:tcBorders>
            <w:shd w:val="clear" w:color="auto" w:fill="FFFFFF"/>
            <w:vAlign w:val="center"/>
            <w:hideMark/>
          </w:tcPr>
          <w:p w14:paraId="49021799"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 xml:space="preserve">Nucleus and </w:t>
            </w:r>
            <w:r w:rsidR="00D17E90">
              <w:rPr>
                <w:rFonts w:ascii="Times New Roman" w:eastAsia="Times New Roman" w:hAnsi="Times New Roman"/>
                <w:color w:val="000000"/>
                <w:sz w:val="13"/>
                <w:szCs w:val="13"/>
              </w:rPr>
              <w:t>c</w:t>
            </w:r>
            <w:r w:rsidRPr="006F2325">
              <w:rPr>
                <w:rFonts w:ascii="Times New Roman" w:eastAsia="Times New Roman" w:hAnsi="Times New Roman"/>
                <w:color w:val="000000"/>
                <w:sz w:val="13"/>
                <w:szCs w:val="13"/>
              </w:rPr>
              <w:t>ytosol</w:t>
            </w:r>
          </w:p>
        </w:tc>
        <w:tc>
          <w:tcPr>
            <w:tcW w:w="993" w:type="dxa"/>
            <w:tcBorders>
              <w:top w:val="nil"/>
              <w:left w:val="nil"/>
              <w:bottom w:val="nil"/>
              <w:right w:val="nil"/>
            </w:tcBorders>
            <w:shd w:val="clear" w:color="auto" w:fill="FFFFFF"/>
            <w:vAlign w:val="center"/>
            <w:hideMark/>
          </w:tcPr>
          <w:p w14:paraId="705036CD"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[25]</w:t>
            </w:r>
          </w:p>
        </w:tc>
      </w:tr>
      <w:tr w:rsidR="006F2325" w:rsidRPr="006F2325" w14:paraId="7CE29A99" w14:textId="77777777" w:rsidTr="00F36CC7">
        <w:trPr>
          <w:trHeight w:val="141"/>
          <w:jc w:val="center"/>
        </w:trPr>
        <w:tc>
          <w:tcPr>
            <w:tcW w:w="1270" w:type="dxa"/>
            <w:tcBorders>
              <w:top w:val="nil"/>
              <w:left w:val="nil"/>
              <w:bottom w:val="nil"/>
              <w:right w:val="nil"/>
            </w:tcBorders>
            <w:shd w:val="clear" w:color="auto" w:fill="D9D9D9" w:themeFill="background1" w:themeFillShade="D9"/>
            <w:vAlign w:val="center"/>
            <w:hideMark/>
          </w:tcPr>
          <w:p w14:paraId="238DD215"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Cyclin A1/2</w:t>
            </w:r>
          </w:p>
          <w:p w14:paraId="12C13E9B"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Cyclin D1/3</w:t>
            </w:r>
          </w:p>
          <w:p w14:paraId="1A8B8505"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Cyclin E1/3</w:t>
            </w:r>
          </w:p>
        </w:tc>
        <w:tc>
          <w:tcPr>
            <w:tcW w:w="2417" w:type="dxa"/>
            <w:tcBorders>
              <w:top w:val="nil"/>
              <w:left w:val="nil"/>
              <w:bottom w:val="nil"/>
              <w:right w:val="nil"/>
            </w:tcBorders>
            <w:shd w:val="clear" w:color="auto" w:fill="D9D9D9" w:themeFill="background1" w:themeFillShade="D9"/>
            <w:vAlign w:val="center"/>
            <w:hideMark/>
          </w:tcPr>
          <w:p w14:paraId="757AD9F2"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Regulating the G1/S/G2/M transitions</w:t>
            </w:r>
          </w:p>
        </w:tc>
        <w:tc>
          <w:tcPr>
            <w:tcW w:w="2127" w:type="dxa"/>
            <w:tcBorders>
              <w:top w:val="nil"/>
              <w:left w:val="nil"/>
              <w:bottom w:val="nil"/>
              <w:right w:val="nil"/>
            </w:tcBorders>
            <w:shd w:val="clear" w:color="auto" w:fill="D9D9D9" w:themeFill="background1" w:themeFillShade="D9"/>
            <w:vAlign w:val="center"/>
            <w:hideMark/>
          </w:tcPr>
          <w:p w14:paraId="0507FD8C"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Proliferation </w:t>
            </w:r>
          </w:p>
        </w:tc>
        <w:tc>
          <w:tcPr>
            <w:tcW w:w="1132" w:type="dxa"/>
            <w:tcBorders>
              <w:top w:val="nil"/>
              <w:left w:val="nil"/>
              <w:bottom w:val="nil"/>
              <w:right w:val="nil"/>
            </w:tcBorders>
            <w:shd w:val="clear" w:color="auto" w:fill="D9D9D9" w:themeFill="background1" w:themeFillShade="D9"/>
            <w:vAlign w:val="center"/>
            <w:hideMark/>
          </w:tcPr>
          <w:p w14:paraId="1E96953D"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S-phase kinase-associated protein 2, </w:t>
            </w:r>
            <w:r w:rsidRPr="006F2325">
              <w:rPr>
                <w:rFonts w:ascii="Times New Roman" w:hAnsi="Times New Roman"/>
                <w:color w:val="000000"/>
                <w:sz w:val="13"/>
                <w:szCs w:val="13"/>
              </w:rPr>
              <w:t>Myc</w:t>
            </w:r>
            <w:r w:rsidRPr="006F2325">
              <w:rPr>
                <w:rFonts w:ascii="Times New Roman" w:eastAsia="Times New Roman" w:hAnsi="Times New Roman"/>
                <w:color w:val="000000"/>
                <w:sz w:val="13"/>
                <w:szCs w:val="13"/>
              </w:rPr>
              <w:t xml:space="preserve"> proto-oncogene protein</w:t>
            </w:r>
          </w:p>
        </w:tc>
        <w:tc>
          <w:tcPr>
            <w:tcW w:w="1421" w:type="dxa"/>
            <w:tcBorders>
              <w:top w:val="nil"/>
              <w:left w:val="nil"/>
              <w:bottom w:val="nil"/>
              <w:right w:val="nil"/>
            </w:tcBorders>
            <w:shd w:val="clear" w:color="auto" w:fill="D9D9D9" w:themeFill="background1" w:themeFillShade="D9"/>
            <w:vAlign w:val="center"/>
            <w:hideMark/>
          </w:tcPr>
          <w:p w14:paraId="11E8138A"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Nucleus</w:t>
            </w:r>
          </w:p>
        </w:tc>
        <w:tc>
          <w:tcPr>
            <w:tcW w:w="993" w:type="dxa"/>
            <w:tcBorders>
              <w:top w:val="nil"/>
              <w:left w:val="nil"/>
              <w:bottom w:val="nil"/>
              <w:right w:val="nil"/>
            </w:tcBorders>
            <w:shd w:val="clear" w:color="auto" w:fill="D9D9D9" w:themeFill="background1" w:themeFillShade="D9"/>
            <w:vAlign w:val="center"/>
            <w:hideMark/>
          </w:tcPr>
          <w:p w14:paraId="0F424876"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[41]</w:t>
            </w:r>
          </w:p>
        </w:tc>
      </w:tr>
      <w:tr w:rsidR="006F2325" w:rsidRPr="006F2325" w14:paraId="2DE685D9" w14:textId="77777777" w:rsidTr="00F36CC7">
        <w:trPr>
          <w:trHeight w:val="24"/>
          <w:jc w:val="center"/>
        </w:trPr>
        <w:tc>
          <w:tcPr>
            <w:tcW w:w="1270" w:type="dxa"/>
            <w:tcBorders>
              <w:top w:val="nil"/>
              <w:left w:val="nil"/>
              <w:bottom w:val="nil"/>
              <w:right w:val="nil"/>
            </w:tcBorders>
            <w:shd w:val="clear" w:color="auto" w:fill="FFFFFF"/>
            <w:vAlign w:val="center"/>
            <w:hideMark/>
          </w:tcPr>
          <w:p w14:paraId="1C51E794"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Proliferating cell nuclear antigen</w:t>
            </w:r>
          </w:p>
        </w:tc>
        <w:tc>
          <w:tcPr>
            <w:tcW w:w="2417" w:type="dxa"/>
            <w:tcBorders>
              <w:top w:val="nil"/>
              <w:left w:val="nil"/>
              <w:bottom w:val="nil"/>
              <w:right w:val="nil"/>
            </w:tcBorders>
            <w:shd w:val="clear" w:color="auto" w:fill="FFFFFF"/>
            <w:vAlign w:val="center"/>
            <w:hideMark/>
          </w:tcPr>
          <w:p w14:paraId="0D2DE652"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DNA damage response, DNA repair</w:t>
            </w:r>
          </w:p>
        </w:tc>
        <w:tc>
          <w:tcPr>
            <w:tcW w:w="2127" w:type="dxa"/>
            <w:tcBorders>
              <w:top w:val="nil"/>
              <w:left w:val="nil"/>
              <w:bottom w:val="nil"/>
              <w:right w:val="nil"/>
            </w:tcBorders>
            <w:shd w:val="clear" w:color="auto" w:fill="FFFFFF"/>
            <w:vAlign w:val="center"/>
            <w:hideMark/>
          </w:tcPr>
          <w:p w14:paraId="34E98B31"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Proliferation and anti-apoptosis</w:t>
            </w:r>
          </w:p>
        </w:tc>
        <w:tc>
          <w:tcPr>
            <w:tcW w:w="1132" w:type="dxa"/>
            <w:tcBorders>
              <w:top w:val="nil"/>
              <w:left w:val="nil"/>
              <w:bottom w:val="nil"/>
              <w:right w:val="nil"/>
            </w:tcBorders>
            <w:shd w:val="clear" w:color="auto" w:fill="FFFFFF"/>
            <w:vAlign w:val="center"/>
            <w:hideMark/>
          </w:tcPr>
          <w:p w14:paraId="7E8DA180"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eIF5A</w:t>
            </w:r>
          </w:p>
        </w:tc>
        <w:tc>
          <w:tcPr>
            <w:tcW w:w="1421" w:type="dxa"/>
            <w:tcBorders>
              <w:top w:val="nil"/>
              <w:left w:val="nil"/>
              <w:bottom w:val="nil"/>
              <w:right w:val="nil"/>
            </w:tcBorders>
            <w:shd w:val="clear" w:color="auto" w:fill="FFFFFF"/>
            <w:vAlign w:val="center"/>
            <w:hideMark/>
          </w:tcPr>
          <w:p w14:paraId="1A79AF60"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Nucleus</w:t>
            </w:r>
          </w:p>
        </w:tc>
        <w:tc>
          <w:tcPr>
            <w:tcW w:w="993" w:type="dxa"/>
            <w:tcBorders>
              <w:top w:val="nil"/>
              <w:left w:val="nil"/>
              <w:bottom w:val="nil"/>
              <w:right w:val="nil"/>
            </w:tcBorders>
            <w:shd w:val="clear" w:color="auto" w:fill="FFFFFF"/>
            <w:vAlign w:val="center"/>
            <w:hideMark/>
          </w:tcPr>
          <w:p w14:paraId="4949C3BA"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[116]</w:t>
            </w:r>
          </w:p>
        </w:tc>
      </w:tr>
      <w:tr w:rsidR="006F2325" w:rsidRPr="006F2325" w14:paraId="4ED502A4" w14:textId="77777777" w:rsidTr="00F36CC7">
        <w:trPr>
          <w:trHeight w:val="24"/>
          <w:jc w:val="center"/>
        </w:trPr>
        <w:tc>
          <w:tcPr>
            <w:tcW w:w="1270" w:type="dxa"/>
            <w:tcBorders>
              <w:top w:val="nil"/>
              <w:left w:val="nil"/>
              <w:bottom w:val="nil"/>
              <w:right w:val="nil"/>
            </w:tcBorders>
            <w:shd w:val="clear" w:color="auto" w:fill="D9D9D9" w:themeFill="background1" w:themeFillShade="D9"/>
            <w:vAlign w:val="center"/>
            <w:hideMark/>
          </w:tcPr>
          <w:p w14:paraId="7FA9900C"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Bcl-2</w:t>
            </w:r>
          </w:p>
        </w:tc>
        <w:tc>
          <w:tcPr>
            <w:tcW w:w="2417" w:type="dxa"/>
            <w:tcBorders>
              <w:top w:val="nil"/>
              <w:left w:val="nil"/>
              <w:bottom w:val="nil"/>
              <w:right w:val="nil"/>
            </w:tcBorders>
            <w:shd w:val="clear" w:color="auto" w:fill="D9D9D9" w:themeFill="background1" w:themeFillShade="D9"/>
            <w:vAlign w:val="center"/>
            <w:hideMark/>
          </w:tcPr>
          <w:p w14:paraId="270821BC"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Activated by Cyclic AMP-responsive element-binding protein 1, inhibiting apoptosis</w:t>
            </w:r>
          </w:p>
        </w:tc>
        <w:tc>
          <w:tcPr>
            <w:tcW w:w="2127" w:type="dxa"/>
            <w:tcBorders>
              <w:top w:val="nil"/>
              <w:left w:val="nil"/>
              <w:bottom w:val="nil"/>
              <w:right w:val="nil"/>
            </w:tcBorders>
            <w:shd w:val="clear" w:color="auto" w:fill="D9D9D9" w:themeFill="background1" w:themeFillShade="D9"/>
            <w:vAlign w:val="center"/>
            <w:hideMark/>
          </w:tcPr>
          <w:p w14:paraId="7E02E90F"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Proliferation and anti-apoptosis</w:t>
            </w:r>
          </w:p>
        </w:tc>
        <w:tc>
          <w:tcPr>
            <w:tcW w:w="1132" w:type="dxa"/>
            <w:tcBorders>
              <w:top w:val="nil"/>
              <w:left w:val="nil"/>
              <w:bottom w:val="nil"/>
              <w:right w:val="nil"/>
            </w:tcBorders>
            <w:shd w:val="clear" w:color="auto" w:fill="D9D9D9" w:themeFill="background1" w:themeFillShade="D9"/>
            <w:vAlign w:val="center"/>
            <w:hideMark/>
          </w:tcPr>
          <w:p w14:paraId="50B3D464"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Cyclic AMP-responsive element-binding protein 1</w:t>
            </w:r>
          </w:p>
        </w:tc>
        <w:tc>
          <w:tcPr>
            <w:tcW w:w="1421" w:type="dxa"/>
            <w:tcBorders>
              <w:top w:val="nil"/>
              <w:left w:val="nil"/>
              <w:bottom w:val="nil"/>
              <w:right w:val="nil"/>
            </w:tcBorders>
            <w:shd w:val="clear" w:color="auto" w:fill="D9D9D9" w:themeFill="background1" w:themeFillShade="D9"/>
            <w:vAlign w:val="center"/>
            <w:hideMark/>
          </w:tcPr>
          <w:p w14:paraId="1DE7E88E"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Cytoplasm</w:t>
            </w:r>
          </w:p>
        </w:tc>
        <w:tc>
          <w:tcPr>
            <w:tcW w:w="993" w:type="dxa"/>
            <w:tcBorders>
              <w:top w:val="nil"/>
              <w:left w:val="nil"/>
              <w:bottom w:val="nil"/>
              <w:right w:val="nil"/>
            </w:tcBorders>
            <w:shd w:val="clear" w:color="auto" w:fill="D9D9D9" w:themeFill="background1" w:themeFillShade="D9"/>
            <w:vAlign w:val="center"/>
            <w:hideMark/>
          </w:tcPr>
          <w:p w14:paraId="64D15C76"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[63]</w:t>
            </w:r>
          </w:p>
        </w:tc>
      </w:tr>
      <w:tr w:rsidR="006F2325" w:rsidRPr="006F2325" w14:paraId="69CFBEF3" w14:textId="77777777" w:rsidTr="00F36CC7">
        <w:trPr>
          <w:trHeight w:val="24"/>
          <w:jc w:val="center"/>
        </w:trPr>
        <w:tc>
          <w:tcPr>
            <w:tcW w:w="1270" w:type="dxa"/>
            <w:tcBorders>
              <w:top w:val="nil"/>
              <w:left w:val="nil"/>
              <w:bottom w:val="nil"/>
              <w:right w:val="nil"/>
            </w:tcBorders>
            <w:shd w:val="clear" w:color="auto" w:fill="FFFFFF"/>
            <w:vAlign w:val="center"/>
            <w:hideMark/>
          </w:tcPr>
          <w:p w14:paraId="5CD33D5F"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Bcl-2-associated X protein, Bcl-2-like protein 11, Bcl-2-associated agonist of cell death protein, </w:t>
            </w:r>
            <w:r w:rsidR="00F36CC7">
              <w:rPr>
                <w:rFonts w:ascii="Times New Roman" w:eastAsia="Times New Roman" w:hAnsi="Times New Roman"/>
                <w:color w:val="000000"/>
                <w:sz w:val="13"/>
                <w:szCs w:val="13"/>
              </w:rPr>
              <w:t>C</w:t>
            </w:r>
            <w:r w:rsidRPr="006F2325">
              <w:rPr>
                <w:rFonts w:ascii="Times New Roman" w:eastAsia="Times New Roman" w:hAnsi="Times New Roman"/>
                <w:color w:val="000000"/>
                <w:sz w:val="13"/>
                <w:szCs w:val="13"/>
              </w:rPr>
              <w:t>ytochrome c</w:t>
            </w:r>
          </w:p>
        </w:tc>
        <w:tc>
          <w:tcPr>
            <w:tcW w:w="2417" w:type="dxa"/>
            <w:tcBorders>
              <w:top w:val="nil"/>
              <w:left w:val="nil"/>
              <w:bottom w:val="nil"/>
              <w:right w:val="nil"/>
            </w:tcBorders>
            <w:shd w:val="clear" w:color="auto" w:fill="FFFFFF"/>
            <w:vAlign w:val="center"/>
            <w:hideMark/>
          </w:tcPr>
          <w:p w14:paraId="2EE63FA7"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Apoptosis regulator in mitochondria</w:t>
            </w:r>
          </w:p>
        </w:tc>
        <w:tc>
          <w:tcPr>
            <w:tcW w:w="2127" w:type="dxa"/>
            <w:tcBorders>
              <w:top w:val="nil"/>
              <w:left w:val="nil"/>
              <w:bottom w:val="nil"/>
              <w:right w:val="nil"/>
            </w:tcBorders>
            <w:shd w:val="clear" w:color="auto" w:fill="FFFFFF"/>
            <w:vAlign w:val="center"/>
            <w:hideMark/>
          </w:tcPr>
          <w:p w14:paraId="5224B0D9"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Mitochondria-induced apoptosis </w:t>
            </w:r>
          </w:p>
        </w:tc>
        <w:tc>
          <w:tcPr>
            <w:tcW w:w="1132" w:type="dxa"/>
            <w:tcBorders>
              <w:top w:val="nil"/>
              <w:left w:val="nil"/>
              <w:bottom w:val="nil"/>
              <w:right w:val="nil"/>
            </w:tcBorders>
            <w:shd w:val="clear" w:color="auto" w:fill="FFFFFF"/>
            <w:vAlign w:val="center"/>
            <w:hideMark/>
          </w:tcPr>
          <w:p w14:paraId="64A16419"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ROS</w:t>
            </w:r>
          </w:p>
        </w:tc>
        <w:tc>
          <w:tcPr>
            <w:tcW w:w="1421" w:type="dxa"/>
            <w:tcBorders>
              <w:top w:val="nil"/>
              <w:left w:val="nil"/>
              <w:bottom w:val="nil"/>
              <w:right w:val="nil"/>
            </w:tcBorders>
            <w:shd w:val="clear" w:color="auto" w:fill="FFFFFF"/>
            <w:vAlign w:val="center"/>
            <w:hideMark/>
          </w:tcPr>
          <w:p w14:paraId="1E8A092C"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Mitochondrion</w:t>
            </w:r>
          </w:p>
        </w:tc>
        <w:tc>
          <w:tcPr>
            <w:tcW w:w="993" w:type="dxa"/>
            <w:tcBorders>
              <w:top w:val="nil"/>
              <w:left w:val="nil"/>
              <w:bottom w:val="nil"/>
              <w:right w:val="nil"/>
            </w:tcBorders>
            <w:shd w:val="clear" w:color="auto" w:fill="FFFFFF"/>
            <w:vAlign w:val="center"/>
            <w:hideMark/>
          </w:tcPr>
          <w:p w14:paraId="308E9AA7"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[63, 98]</w:t>
            </w:r>
          </w:p>
        </w:tc>
      </w:tr>
      <w:tr w:rsidR="006F2325" w:rsidRPr="006F2325" w14:paraId="38026B9A" w14:textId="77777777" w:rsidTr="00F36CC7">
        <w:trPr>
          <w:trHeight w:val="24"/>
          <w:jc w:val="center"/>
        </w:trPr>
        <w:tc>
          <w:tcPr>
            <w:tcW w:w="1270" w:type="dxa"/>
            <w:tcBorders>
              <w:top w:val="nil"/>
              <w:left w:val="nil"/>
              <w:bottom w:val="nil"/>
              <w:right w:val="nil"/>
            </w:tcBorders>
            <w:shd w:val="clear" w:color="auto" w:fill="D9D9D9" w:themeFill="background1" w:themeFillShade="D9"/>
            <w:vAlign w:val="center"/>
            <w:hideMark/>
          </w:tcPr>
          <w:p w14:paraId="61DD58A7"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Cas-3, 8, 9</w:t>
            </w:r>
          </w:p>
        </w:tc>
        <w:tc>
          <w:tcPr>
            <w:tcW w:w="2417" w:type="dxa"/>
            <w:tcBorders>
              <w:top w:val="nil"/>
              <w:left w:val="nil"/>
              <w:bottom w:val="nil"/>
              <w:right w:val="nil"/>
            </w:tcBorders>
            <w:shd w:val="clear" w:color="auto" w:fill="D9D9D9" w:themeFill="background1" w:themeFillShade="D9"/>
            <w:vAlign w:val="center"/>
            <w:hideMark/>
          </w:tcPr>
          <w:p w14:paraId="039ED97C"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Apoptosis caused by DNA damage and cleaving poly (ADP-ribose) polymerase</w:t>
            </w:r>
          </w:p>
        </w:tc>
        <w:tc>
          <w:tcPr>
            <w:tcW w:w="2127" w:type="dxa"/>
            <w:tcBorders>
              <w:top w:val="nil"/>
              <w:left w:val="nil"/>
              <w:bottom w:val="nil"/>
              <w:right w:val="nil"/>
            </w:tcBorders>
            <w:shd w:val="clear" w:color="auto" w:fill="D9D9D9" w:themeFill="background1" w:themeFillShade="D9"/>
            <w:vAlign w:val="center"/>
            <w:hideMark/>
          </w:tcPr>
          <w:p w14:paraId="000A2339"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Apoptosis</w:t>
            </w:r>
          </w:p>
        </w:tc>
        <w:tc>
          <w:tcPr>
            <w:tcW w:w="1132" w:type="dxa"/>
            <w:tcBorders>
              <w:top w:val="nil"/>
              <w:left w:val="nil"/>
              <w:bottom w:val="nil"/>
              <w:right w:val="nil"/>
            </w:tcBorders>
            <w:shd w:val="clear" w:color="auto" w:fill="D9D9D9" w:themeFill="background1" w:themeFillShade="D9"/>
            <w:vAlign w:val="center"/>
            <w:hideMark/>
          </w:tcPr>
          <w:p w14:paraId="1FF5E586" w14:textId="77777777" w:rsidR="006F2325" w:rsidRPr="006F2325" w:rsidRDefault="00F36CC7" w:rsidP="006F2325">
            <w:pPr>
              <w:spacing w:line="0" w:lineRule="atLeast"/>
              <w:jc w:val="center"/>
              <w:rPr>
                <w:rFonts w:ascii="Times New Roman" w:eastAsia="宋体" w:hAnsi="Times New Roman"/>
                <w:color w:val="000000"/>
                <w:sz w:val="13"/>
                <w:szCs w:val="13"/>
              </w:rPr>
            </w:pPr>
            <w:r>
              <w:rPr>
                <w:rFonts w:ascii="Times New Roman" w:eastAsia="Times New Roman" w:hAnsi="Times New Roman"/>
                <w:color w:val="000000"/>
                <w:sz w:val="13"/>
                <w:szCs w:val="13"/>
              </w:rPr>
              <w:t>C</w:t>
            </w:r>
            <w:r w:rsidR="006F2325" w:rsidRPr="006F2325">
              <w:rPr>
                <w:rFonts w:ascii="Times New Roman" w:eastAsia="Times New Roman" w:hAnsi="Times New Roman"/>
                <w:color w:val="000000"/>
                <w:sz w:val="13"/>
                <w:szCs w:val="13"/>
              </w:rPr>
              <w:t xml:space="preserve">ytochrome </w:t>
            </w:r>
            <w:r w:rsidR="006F2325" w:rsidRPr="006F2325">
              <w:rPr>
                <w:rFonts w:ascii="Times New Roman" w:hAnsi="Times New Roman"/>
                <w:color w:val="000000"/>
                <w:sz w:val="13"/>
                <w:szCs w:val="13"/>
              </w:rPr>
              <w:t>c</w:t>
            </w:r>
          </w:p>
        </w:tc>
        <w:tc>
          <w:tcPr>
            <w:tcW w:w="1421" w:type="dxa"/>
            <w:tcBorders>
              <w:top w:val="nil"/>
              <w:left w:val="nil"/>
              <w:bottom w:val="nil"/>
              <w:right w:val="nil"/>
            </w:tcBorders>
            <w:shd w:val="clear" w:color="auto" w:fill="D9D9D9" w:themeFill="background1" w:themeFillShade="D9"/>
            <w:vAlign w:val="center"/>
            <w:hideMark/>
          </w:tcPr>
          <w:p w14:paraId="377318C7"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Cytoplasm</w:t>
            </w:r>
          </w:p>
        </w:tc>
        <w:tc>
          <w:tcPr>
            <w:tcW w:w="993" w:type="dxa"/>
            <w:tcBorders>
              <w:top w:val="nil"/>
              <w:left w:val="nil"/>
              <w:bottom w:val="nil"/>
              <w:right w:val="nil"/>
            </w:tcBorders>
            <w:shd w:val="clear" w:color="auto" w:fill="D9D9D9" w:themeFill="background1" w:themeFillShade="D9"/>
            <w:vAlign w:val="center"/>
            <w:hideMark/>
          </w:tcPr>
          <w:p w14:paraId="558A5C43"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[115]</w:t>
            </w:r>
          </w:p>
        </w:tc>
      </w:tr>
      <w:tr w:rsidR="006F2325" w:rsidRPr="006F2325" w14:paraId="6E482D08" w14:textId="77777777" w:rsidTr="00F36CC7">
        <w:trPr>
          <w:trHeight w:val="24"/>
          <w:jc w:val="center"/>
        </w:trPr>
        <w:tc>
          <w:tcPr>
            <w:tcW w:w="1270" w:type="dxa"/>
            <w:tcBorders>
              <w:top w:val="nil"/>
              <w:left w:val="nil"/>
              <w:bottom w:val="nil"/>
              <w:right w:val="nil"/>
            </w:tcBorders>
            <w:shd w:val="clear" w:color="auto" w:fill="FFFFFF"/>
            <w:vAlign w:val="center"/>
            <w:hideMark/>
          </w:tcPr>
          <w:p w14:paraId="4FE6D70D"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P53</w:t>
            </w:r>
          </w:p>
        </w:tc>
        <w:tc>
          <w:tcPr>
            <w:tcW w:w="2417" w:type="dxa"/>
            <w:tcBorders>
              <w:top w:val="nil"/>
              <w:left w:val="nil"/>
              <w:bottom w:val="nil"/>
              <w:right w:val="nil"/>
            </w:tcBorders>
            <w:shd w:val="clear" w:color="auto" w:fill="FFFFFF"/>
            <w:vAlign w:val="center"/>
            <w:hideMark/>
          </w:tcPr>
          <w:p w14:paraId="65D4DAF9"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Tumor suppressor, stimulating Bax, inhibiting Bcl-2</w:t>
            </w:r>
          </w:p>
        </w:tc>
        <w:tc>
          <w:tcPr>
            <w:tcW w:w="2127" w:type="dxa"/>
            <w:tcBorders>
              <w:top w:val="nil"/>
              <w:left w:val="nil"/>
              <w:bottom w:val="nil"/>
              <w:right w:val="nil"/>
            </w:tcBorders>
            <w:shd w:val="clear" w:color="auto" w:fill="FFFFFF"/>
            <w:vAlign w:val="center"/>
            <w:hideMark/>
          </w:tcPr>
          <w:p w14:paraId="31E166B6"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Apoptosis </w:t>
            </w:r>
          </w:p>
        </w:tc>
        <w:tc>
          <w:tcPr>
            <w:tcW w:w="1132" w:type="dxa"/>
            <w:tcBorders>
              <w:top w:val="nil"/>
              <w:left w:val="nil"/>
              <w:bottom w:val="nil"/>
              <w:right w:val="nil"/>
            </w:tcBorders>
            <w:shd w:val="clear" w:color="auto" w:fill="FFFFFF"/>
            <w:vAlign w:val="center"/>
            <w:hideMark/>
          </w:tcPr>
          <w:p w14:paraId="2F2E2F4E"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mTORC1</w:t>
            </w:r>
          </w:p>
        </w:tc>
        <w:tc>
          <w:tcPr>
            <w:tcW w:w="1421" w:type="dxa"/>
            <w:tcBorders>
              <w:top w:val="nil"/>
              <w:left w:val="nil"/>
              <w:bottom w:val="nil"/>
              <w:right w:val="nil"/>
            </w:tcBorders>
            <w:shd w:val="clear" w:color="auto" w:fill="FFFFFF"/>
            <w:vAlign w:val="center"/>
            <w:hideMark/>
          </w:tcPr>
          <w:p w14:paraId="19D99F5A" w14:textId="77777777" w:rsidR="006F2325" w:rsidRPr="006F2325" w:rsidRDefault="00A44A79"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N</w:t>
            </w:r>
            <w:r w:rsidR="006F2325" w:rsidRPr="006F2325">
              <w:rPr>
                <w:rFonts w:ascii="Times New Roman" w:eastAsia="Times New Roman" w:hAnsi="Times New Roman"/>
                <w:color w:val="000000"/>
                <w:sz w:val="13"/>
                <w:szCs w:val="13"/>
              </w:rPr>
              <w:t>ucleus</w:t>
            </w:r>
            <w:r w:rsidR="00D17E90">
              <w:rPr>
                <w:rFonts w:ascii="Times New Roman" w:eastAsia="Times New Roman" w:hAnsi="Times New Roman"/>
                <w:color w:val="000000"/>
                <w:sz w:val="13"/>
                <w:szCs w:val="13"/>
              </w:rPr>
              <w:t xml:space="preserve"> and</w:t>
            </w:r>
            <w:r>
              <w:rPr>
                <w:rFonts w:ascii="Times New Roman" w:eastAsia="Times New Roman" w:hAnsi="Times New Roman"/>
                <w:color w:val="000000"/>
                <w:sz w:val="13"/>
                <w:szCs w:val="13"/>
              </w:rPr>
              <w:t xml:space="preserve"> </w:t>
            </w:r>
            <w:r w:rsidR="00D17E90">
              <w:rPr>
                <w:rFonts w:ascii="Times New Roman" w:eastAsia="Times New Roman" w:hAnsi="Times New Roman"/>
                <w:color w:val="000000"/>
                <w:sz w:val="13"/>
                <w:szCs w:val="13"/>
              </w:rPr>
              <w:t>m</w:t>
            </w:r>
            <w:r>
              <w:rPr>
                <w:rFonts w:ascii="Times New Roman" w:eastAsia="Times New Roman" w:hAnsi="Times New Roman"/>
                <w:color w:val="000000"/>
                <w:sz w:val="13"/>
                <w:szCs w:val="13"/>
              </w:rPr>
              <w:t>itochondrion</w:t>
            </w:r>
          </w:p>
        </w:tc>
        <w:tc>
          <w:tcPr>
            <w:tcW w:w="993" w:type="dxa"/>
            <w:tcBorders>
              <w:top w:val="nil"/>
              <w:left w:val="nil"/>
              <w:bottom w:val="nil"/>
              <w:right w:val="nil"/>
            </w:tcBorders>
            <w:shd w:val="clear" w:color="auto" w:fill="FFFFFF"/>
            <w:vAlign w:val="center"/>
            <w:hideMark/>
          </w:tcPr>
          <w:p w14:paraId="4CC2F545"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[40, 76]</w:t>
            </w:r>
          </w:p>
        </w:tc>
      </w:tr>
      <w:tr w:rsidR="006F2325" w:rsidRPr="006F2325" w14:paraId="70B72E7F" w14:textId="77777777" w:rsidTr="00F36CC7">
        <w:trPr>
          <w:trHeight w:val="620"/>
          <w:jc w:val="center"/>
        </w:trPr>
        <w:tc>
          <w:tcPr>
            <w:tcW w:w="1270" w:type="dxa"/>
            <w:tcBorders>
              <w:top w:val="nil"/>
              <w:left w:val="nil"/>
              <w:bottom w:val="nil"/>
              <w:right w:val="nil"/>
            </w:tcBorders>
            <w:shd w:val="clear" w:color="auto" w:fill="D9D9D9" w:themeFill="background1" w:themeFillShade="D9"/>
            <w:vAlign w:val="center"/>
            <w:hideMark/>
          </w:tcPr>
          <w:p w14:paraId="61F48B5C" w14:textId="77777777" w:rsidR="006F2325" w:rsidRPr="006F2325" w:rsidRDefault="00A44A79" w:rsidP="006F2325">
            <w:pPr>
              <w:spacing w:line="0" w:lineRule="atLeast"/>
              <w:jc w:val="center"/>
              <w:rPr>
                <w:rFonts w:ascii="Times New Roman" w:eastAsia="Times New Roman" w:hAnsi="Times New Roman"/>
                <w:color w:val="000000"/>
                <w:sz w:val="13"/>
                <w:szCs w:val="13"/>
              </w:rPr>
            </w:pPr>
            <w:r>
              <w:rPr>
                <w:rFonts w:ascii="Times New Roman" w:eastAsia="Times New Roman" w:hAnsi="Times New Roman"/>
                <w:color w:val="000000"/>
                <w:sz w:val="13"/>
                <w:szCs w:val="13"/>
              </w:rPr>
              <w:t>A</w:t>
            </w:r>
            <w:r w:rsidRPr="00A44A79">
              <w:rPr>
                <w:rFonts w:ascii="Times New Roman" w:eastAsia="Times New Roman" w:hAnsi="Times New Roman"/>
                <w:color w:val="000000"/>
                <w:sz w:val="13"/>
                <w:szCs w:val="13"/>
              </w:rPr>
              <w:t xml:space="preserve"> disintegrin and metalloproteinase</w:t>
            </w:r>
            <w:r w:rsidR="006F2325" w:rsidRPr="006F2325">
              <w:rPr>
                <w:rFonts w:ascii="Times New Roman" w:eastAsia="Times New Roman" w:hAnsi="Times New Roman"/>
                <w:color w:val="000000"/>
                <w:sz w:val="13"/>
                <w:szCs w:val="13"/>
              </w:rPr>
              <w:t xml:space="preserve"> 9, 10, 12, 17</w:t>
            </w:r>
          </w:p>
          <w:p w14:paraId="7D932135"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MMP-3, 8, 9, 10</w:t>
            </w:r>
          </w:p>
        </w:tc>
        <w:tc>
          <w:tcPr>
            <w:tcW w:w="2417" w:type="dxa"/>
            <w:tcBorders>
              <w:top w:val="nil"/>
              <w:left w:val="nil"/>
              <w:bottom w:val="nil"/>
              <w:right w:val="nil"/>
            </w:tcBorders>
            <w:shd w:val="clear" w:color="auto" w:fill="D9D9D9" w:themeFill="background1" w:themeFillShade="D9"/>
            <w:vAlign w:val="center"/>
            <w:hideMark/>
          </w:tcPr>
          <w:p w14:paraId="106DF7D3"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Local proteolysis of extracellular matrix (</w:t>
            </w:r>
            <w:r w:rsidRPr="006F2325">
              <w:rPr>
                <w:rFonts w:ascii="Times New Roman" w:eastAsia="Times New Roman" w:hAnsi="Times New Roman"/>
                <w:color w:val="222222"/>
                <w:sz w:val="13"/>
                <w:szCs w:val="13"/>
              </w:rPr>
              <w:t>fibronectin, gelatins, collagens</w:t>
            </w:r>
            <w:r w:rsidRPr="006F2325">
              <w:rPr>
                <w:rFonts w:ascii="Times New Roman" w:eastAsia="Times New Roman" w:hAnsi="Times New Roman"/>
                <w:color w:val="000000"/>
                <w:sz w:val="13"/>
                <w:szCs w:val="13"/>
              </w:rPr>
              <w:t xml:space="preserve">), </w:t>
            </w:r>
            <w:r w:rsidRPr="006F2325">
              <w:rPr>
                <w:rFonts w:ascii="Times New Roman" w:eastAsia="Times New Roman" w:hAnsi="Times New Roman"/>
                <w:color w:val="222222"/>
                <w:sz w:val="13"/>
                <w:szCs w:val="13"/>
              </w:rPr>
              <w:t>establishing and maintaining gradients</w:t>
            </w:r>
          </w:p>
        </w:tc>
        <w:tc>
          <w:tcPr>
            <w:tcW w:w="2127" w:type="dxa"/>
            <w:tcBorders>
              <w:top w:val="nil"/>
              <w:left w:val="nil"/>
              <w:bottom w:val="nil"/>
              <w:right w:val="nil"/>
            </w:tcBorders>
            <w:shd w:val="clear" w:color="auto" w:fill="D9D9D9" w:themeFill="background1" w:themeFillShade="D9"/>
            <w:vAlign w:val="center"/>
            <w:hideMark/>
          </w:tcPr>
          <w:p w14:paraId="65C92002"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Migration </w:t>
            </w:r>
          </w:p>
        </w:tc>
        <w:tc>
          <w:tcPr>
            <w:tcW w:w="1132" w:type="dxa"/>
            <w:tcBorders>
              <w:top w:val="nil"/>
              <w:left w:val="nil"/>
              <w:bottom w:val="nil"/>
              <w:right w:val="nil"/>
            </w:tcBorders>
            <w:shd w:val="clear" w:color="auto" w:fill="D9D9D9" w:themeFill="background1" w:themeFillShade="D9"/>
            <w:vAlign w:val="center"/>
            <w:hideMark/>
          </w:tcPr>
          <w:p w14:paraId="6FDDDC11" w14:textId="77777777" w:rsidR="006F2325" w:rsidRPr="006F2325" w:rsidRDefault="006F2325" w:rsidP="006F2325">
            <w:pPr>
              <w:spacing w:line="0" w:lineRule="atLeast"/>
              <w:jc w:val="center"/>
              <w:rPr>
                <w:rFonts w:ascii="Times New Roman" w:eastAsia="宋体" w:hAnsi="Times New Roman"/>
                <w:sz w:val="13"/>
                <w:szCs w:val="13"/>
              </w:rPr>
            </w:pPr>
            <w:r w:rsidRPr="006F2325">
              <w:rPr>
                <w:rFonts w:ascii="Times New Roman" w:eastAsia="Times New Roman" w:hAnsi="Times New Roman"/>
                <w:sz w:val="13"/>
                <w:szCs w:val="13"/>
              </w:rPr>
              <w:t xml:space="preserve">rpS6, Src, </w:t>
            </w:r>
            <w:r w:rsidR="00F36CC7">
              <w:rPr>
                <w:rFonts w:ascii="Times New Roman" w:eastAsia="Times New Roman" w:hAnsi="Times New Roman"/>
                <w:sz w:val="13"/>
                <w:szCs w:val="13"/>
              </w:rPr>
              <w:t>W</w:t>
            </w:r>
            <w:r w:rsidRPr="006F2325">
              <w:rPr>
                <w:rFonts w:ascii="Times New Roman" w:eastAsia="Times New Roman" w:hAnsi="Times New Roman"/>
                <w:sz w:val="13"/>
                <w:szCs w:val="13"/>
              </w:rPr>
              <w:t>ound</w:t>
            </w:r>
          </w:p>
        </w:tc>
        <w:tc>
          <w:tcPr>
            <w:tcW w:w="1421" w:type="dxa"/>
            <w:tcBorders>
              <w:top w:val="nil"/>
              <w:left w:val="nil"/>
              <w:bottom w:val="nil"/>
              <w:right w:val="nil"/>
            </w:tcBorders>
            <w:shd w:val="clear" w:color="auto" w:fill="D9D9D9" w:themeFill="background1" w:themeFillShade="D9"/>
            <w:vAlign w:val="center"/>
            <w:hideMark/>
          </w:tcPr>
          <w:p w14:paraId="2D50753C"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 xml:space="preserve">Extracellular matrix, </w:t>
            </w:r>
            <w:r w:rsidR="00D17E90">
              <w:rPr>
                <w:rFonts w:ascii="Times New Roman" w:eastAsia="Times New Roman" w:hAnsi="Times New Roman"/>
                <w:color w:val="000000"/>
                <w:sz w:val="13"/>
                <w:szCs w:val="13"/>
              </w:rPr>
              <w:t>p</w:t>
            </w:r>
            <w:r w:rsidRPr="006F2325">
              <w:rPr>
                <w:rFonts w:ascii="Times New Roman" w:eastAsia="Times New Roman" w:hAnsi="Times New Roman"/>
                <w:color w:val="000000"/>
                <w:sz w:val="13"/>
                <w:szCs w:val="13"/>
              </w:rPr>
              <w:t>lasma membrane</w:t>
            </w:r>
          </w:p>
        </w:tc>
        <w:tc>
          <w:tcPr>
            <w:tcW w:w="993" w:type="dxa"/>
            <w:tcBorders>
              <w:top w:val="nil"/>
              <w:left w:val="nil"/>
              <w:bottom w:val="nil"/>
              <w:right w:val="nil"/>
            </w:tcBorders>
            <w:shd w:val="clear" w:color="auto" w:fill="D9D9D9" w:themeFill="background1" w:themeFillShade="D9"/>
            <w:vAlign w:val="center"/>
            <w:hideMark/>
          </w:tcPr>
          <w:p w14:paraId="02AE386C"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[117, 118]</w:t>
            </w:r>
          </w:p>
        </w:tc>
      </w:tr>
      <w:tr w:rsidR="006F2325" w:rsidRPr="006F2325" w14:paraId="2CBD4A26" w14:textId="77777777" w:rsidTr="00F36CC7">
        <w:trPr>
          <w:trHeight w:val="393"/>
          <w:jc w:val="center"/>
        </w:trPr>
        <w:tc>
          <w:tcPr>
            <w:tcW w:w="1270" w:type="dxa"/>
            <w:tcBorders>
              <w:top w:val="nil"/>
              <w:left w:val="nil"/>
              <w:bottom w:val="nil"/>
              <w:right w:val="nil"/>
            </w:tcBorders>
            <w:shd w:val="clear" w:color="auto" w:fill="FFFFFF"/>
            <w:vAlign w:val="center"/>
            <w:hideMark/>
          </w:tcPr>
          <w:p w14:paraId="3E7F9EDF"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IL-1β, IL-1α</w:t>
            </w:r>
          </w:p>
        </w:tc>
        <w:tc>
          <w:tcPr>
            <w:tcW w:w="2417" w:type="dxa"/>
            <w:tcBorders>
              <w:top w:val="nil"/>
              <w:left w:val="nil"/>
              <w:bottom w:val="nil"/>
              <w:right w:val="nil"/>
            </w:tcBorders>
            <w:shd w:val="clear" w:color="auto" w:fill="FFFFFF"/>
            <w:vAlign w:val="center"/>
            <w:hideMark/>
          </w:tcPr>
          <w:p w14:paraId="40FEAE99"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Potent proinflammatory cytokine</w:t>
            </w:r>
          </w:p>
        </w:tc>
        <w:tc>
          <w:tcPr>
            <w:tcW w:w="2127" w:type="dxa"/>
            <w:tcBorders>
              <w:top w:val="nil"/>
              <w:left w:val="nil"/>
              <w:bottom w:val="nil"/>
              <w:right w:val="nil"/>
            </w:tcBorders>
            <w:shd w:val="clear" w:color="auto" w:fill="FFFFFF"/>
            <w:vAlign w:val="center"/>
            <w:hideMark/>
          </w:tcPr>
          <w:p w14:paraId="057CF868"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 xml:space="preserve">Inflammation </w:t>
            </w:r>
          </w:p>
        </w:tc>
        <w:tc>
          <w:tcPr>
            <w:tcW w:w="1132" w:type="dxa"/>
            <w:tcBorders>
              <w:top w:val="nil"/>
              <w:left w:val="nil"/>
              <w:bottom w:val="nil"/>
              <w:right w:val="nil"/>
            </w:tcBorders>
            <w:shd w:val="clear" w:color="auto" w:fill="FFFFFF"/>
            <w:vAlign w:val="center"/>
            <w:hideMark/>
          </w:tcPr>
          <w:p w14:paraId="26525293" w14:textId="77777777" w:rsidR="006F2325" w:rsidRPr="006F2325" w:rsidRDefault="006F2325" w:rsidP="006F2325">
            <w:pPr>
              <w:spacing w:line="0" w:lineRule="atLeast"/>
              <w:jc w:val="center"/>
              <w:rPr>
                <w:rFonts w:ascii="Times New Roman" w:eastAsia="宋体" w:hAnsi="Times New Roman"/>
                <w:sz w:val="13"/>
                <w:szCs w:val="13"/>
              </w:rPr>
            </w:pPr>
            <w:r w:rsidRPr="006F2325">
              <w:rPr>
                <w:rFonts w:ascii="Times New Roman" w:eastAsia="Times New Roman" w:hAnsi="Times New Roman"/>
                <w:sz w:val="13"/>
                <w:szCs w:val="13"/>
              </w:rPr>
              <w:t>LPS, ROS, TNF-α</w:t>
            </w:r>
          </w:p>
        </w:tc>
        <w:tc>
          <w:tcPr>
            <w:tcW w:w="1421" w:type="dxa"/>
            <w:tcBorders>
              <w:top w:val="nil"/>
              <w:left w:val="nil"/>
              <w:bottom w:val="nil"/>
              <w:right w:val="nil"/>
            </w:tcBorders>
            <w:shd w:val="clear" w:color="auto" w:fill="FFFFFF"/>
            <w:vAlign w:val="center"/>
            <w:hideMark/>
          </w:tcPr>
          <w:p w14:paraId="3F368BFF"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 xml:space="preserve">Lysosome, </w:t>
            </w:r>
            <w:r w:rsidR="00D17E90">
              <w:rPr>
                <w:rFonts w:ascii="Times New Roman" w:eastAsia="Times New Roman" w:hAnsi="Times New Roman"/>
                <w:color w:val="000000"/>
                <w:sz w:val="13"/>
                <w:szCs w:val="13"/>
              </w:rPr>
              <w:t>c</w:t>
            </w:r>
            <w:r w:rsidRPr="006F2325">
              <w:rPr>
                <w:rFonts w:ascii="Times New Roman" w:eastAsia="Times New Roman" w:hAnsi="Times New Roman"/>
                <w:color w:val="000000"/>
                <w:sz w:val="13"/>
                <w:szCs w:val="13"/>
              </w:rPr>
              <w:t>ytosol</w:t>
            </w:r>
          </w:p>
        </w:tc>
        <w:tc>
          <w:tcPr>
            <w:tcW w:w="993" w:type="dxa"/>
            <w:tcBorders>
              <w:top w:val="nil"/>
              <w:left w:val="nil"/>
              <w:bottom w:val="nil"/>
              <w:right w:val="nil"/>
            </w:tcBorders>
            <w:shd w:val="clear" w:color="auto" w:fill="FFFFFF"/>
            <w:vAlign w:val="center"/>
            <w:hideMark/>
          </w:tcPr>
          <w:p w14:paraId="2AA59120"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[48]</w:t>
            </w:r>
          </w:p>
        </w:tc>
      </w:tr>
      <w:tr w:rsidR="006F2325" w:rsidRPr="006F2325" w14:paraId="3DE05E71" w14:textId="77777777" w:rsidTr="00F36CC7">
        <w:trPr>
          <w:trHeight w:val="24"/>
          <w:jc w:val="center"/>
        </w:trPr>
        <w:tc>
          <w:tcPr>
            <w:tcW w:w="1270" w:type="dxa"/>
            <w:tcBorders>
              <w:top w:val="nil"/>
              <w:left w:val="nil"/>
              <w:bottom w:val="single" w:sz="8" w:space="0" w:color="000000"/>
              <w:right w:val="nil"/>
            </w:tcBorders>
            <w:shd w:val="clear" w:color="auto" w:fill="D9D9D9" w:themeFill="background1" w:themeFillShade="D9"/>
            <w:vAlign w:val="center"/>
            <w:hideMark/>
          </w:tcPr>
          <w:p w14:paraId="74D25F41"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TNF-α</w:t>
            </w:r>
          </w:p>
        </w:tc>
        <w:tc>
          <w:tcPr>
            <w:tcW w:w="2417" w:type="dxa"/>
            <w:tcBorders>
              <w:top w:val="nil"/>
              <w:left w:val="nil"/>
              <w:bottom w:val="single" w:sz="8" w:space="0" w:color="000000"/>
              <w:right w:val="nil"/>
            </w:tcBorders>
            <w:shd w:val="clear" w:color="auto" w:fill="D9D9D9" w:themeFill="background1" w:themeFillShade="D9"/>
            <w:vAlign w:val="center"/>
            <w:hideMark/>
          </w:tcPr>
          <w:p w14:paraId="459D3D72"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 xml:space="preserve">Pathogen defense, inflammation </w:t>
            </w:r>
          </w:p>
        </w:tc>
        <w:tc>
          <w:tcPr>
            <w:tcW w:w="2127" w:type="dxa"/>
            <w:tcBorders>
              <w:top w:val="nil"/>
              <w:left w:val="nil"/>
              <w:bottom w:val="single" w:sz="8" w:space="0" w:color="000000"/>
              <w:right w:val="nil"/>
            </w:tcBorders>
            <w:shd w:val="clear" w:color="auto" w:fill="D9D9D9" w:themeFill="background1" w:themeFillShade="D9"/>
            <w:vAlign w:val="center"/>
            <w:hideMark/>
          </w:tcPr>
          <w:p w14:paraId="3C4B0991"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Inflammation and apoptosis</w:t>
            </w:r>
          </w:p>
        </w:tc>
        <w:tc>
          <w:tcPr>
            <w:tcW w:w="1132" w:type="dxa"/>
            <w:tcBorders>
              <w:top w:val="nil"/>
              <w:left w:val="nil"/>
              <w:bottom w:val="single" w:sz="8" w:space="0" w:color="000000"/>
              <w:right w:val="nil"/>
            </w:tcBorders>
            <w:shd w:val="clear" w:color="auto" w:fill="D9D9D9" w:themeFill="background1" w:themeFillShade="D9"/>
            <w:vAlign w:val="center"/>
            <w:hideMark/>
          </w:tcPr>
          <w:p w14:paraId="25BAE0A3" w14:textId="77777777" w:rsidR="006F2325" w:rsidRPr="006F2325" w:rsidRDefault="006F2325" w:rsidP="006F2325">
            <w:pPr>
              <w:spacing w:line="0" w:lineRule="atLeast"/>
              <w:jc w:val="center"/>
              <w:rPr>
                <w:rFonts w:ascii="Times New Roman" w:eastAsia="宋体" w:hAnsi="Times New Roman"/>
                <w:color w:val="000000"/>
                <w:sz w:val="13"/>
                <w:szCs w:val="13"/>
              </w:rPr>
            </w:pPr>
            <w:r w:rsidRPr="006F2325">
              <w:rPr>
                <w:rFonts w:ascii="Times New Roman" w:eastAsia="Times New Roman" w:hAnsi="Times New Roman"/>
                <w:color w:val="000000"/>
                <w:sz w:val="13"/>
                <w:szCs w:val="13"/>
              </w:rPr>
              <w:t>/</w:t>
            </w:r>
          </w:p>
        </w:tc>
        <w:tc>
          <w:tcPr>
            <w:tcW w:w="1421" w:type="dxa"/>
            <w:tcBorders>
              <w:top w:val="nil"/>
              <w:left w:val="nil"/>
              <w:bottom w:val="single" w:sz="8" w:space="0" w:color="000000"/>
              <w:right w:val="nil"/>
            </w:tcBorders>
            <w:shd w:val="clear" w:color="auto" w:fill="D9D9D9" w:themeFill="background1" w:themeFillShade="D9"/>
            <w:vAlign w:val="center"/>
            <w:hideMark/>
          </w:tcPr>
          <w:p w14:paraId="0D488258" w14:textId="77777777" w:rsidR="006F2325" w:rsidRPr="006F2325" w:rsidRDefault="006F2325" w:rsidP="006F2325">
            <w:pPr>
              <w:spacing w:line="0" w:lineRule="atLeast"/>
              <w:jc w:val="center"/>
              <w:rPr>
                <w:rFonts w:ascii="Times New Roman" w:hAnsi="Times New Roman"/>
                <w:color w:val="000000"/>
                <w:sz w:val="13"/>
                <w:szCs w:val="13"/>
              </w:rPr>
            </w:pPr>
            <w:r w:rsidRPr="006F2325">
              <w:rPr>
                <w:rFonts w:ascii="Times New Roman" w:eastAsia="Times New Roman" w:hAnsi="Times New Roman"/>
                <w:color w:val="000000"/>
                <w:sz w:val="13"/>
                <w:szCs w:val="13"/>
              </w:rPr>
              <w:t>Plasma membrane</w:t>
            </w:r>
          </w:p>
        </w:tc>
        <w:tc>
          <w:tcPr>
            <w:tcW w:w="993" w:type="dxa"/>
            <w:tcBorders>
              <w:top w:val="nil"/>
              <w:left w:val="nil"/>
              <w:bottom w:val="single" w:sz="8" w:space="0" w:color="000000"/>
              <w:right w:val="nil"/>
            </w:tcBorders>
            <w:shd w:val="clear" w:color="auto" w:fill="D9D9D9" w:themeFill="background1" w:themeFillShade="D9"/>
            <w:vAlign w:val="center"/>
            <w:hideMark/>
          </w:tcPr>
          <w:p w14:paraId="31BD1521" w14:textId="77777777" w:rsidR="006F2325" w:rsidRPr="006F2325" w:rsidRDefault="006F2325" w:rsidP="006F2325">
            <w:pPr>
              <w:spacing w:line="0" w:lineRule="atLeast"/>
              <w:jc w:val="center"/>
              <w:rPr>
                <w:rFonts w:ascii="Times New Roman" w:eastAsia="Times New Roman" w:hAnsi="Times New Roman"/>
                <w:color w:val="000000"/>
                <w:sz w:val="13"/>
                <w:szCs w:val="13"/>
              </w:rPr>
            </w:pPr>
            <w:r w:rsidRPr="006F2325">
              <w:rPr>
                <w:rFonts w:ascii="Times New Roman" w:eastAsia="Times New Roman" w:hAnsi="Times New Roman"/>
                <w:noProof/>
                <w:color w:val="000000"/>
                <w:sz w:val="13"/>
                <w:szCs w:val="13"/>
              </w:rPr>
              <w:t>[96]</w:t>
            </w:r>
          </w:p>
        </w:tc>
      </w:tr>
    </w:tbl>
    <w:p w14:paraId="6393EB84" w14:textId="77777777" w:rsidR="006F2325" w:rsidRPr="006F2325" w:rsidRDefault="006F2325" w:rsidP="006F2325">
      <w:pPr>
        <w:widowControl/>
        <w:jc w:val="left"/>
        <w:rPr>
          <w:rFonts w:ascii="Times New Roman" w:eastAsia="宋体" w:hAnsi="Times New Roman" w:cs="Times New Roman"/>
          <w:b/>
          <w:kern w:val="0"/>
          <w:sz w:val="24"/>
          <w:szCs w:val="24"/>
        </w:rPr>
      </w:pPr>
      <w:r w:rsidRPr="006F2325">
        <w:rPr>
          <w:rFonts w:ascii="Times New Roman" w:eastAsia="宋体" w:hAnsi="Times New Roman" w:cs="Times New Roman"/>
          <w:b/>
          <w:kern w:val="0"/>
          <w:sz w:val="24"/>
          <w:szCs w:val="24"/>
        </w:rPr>
        <w:br w:type="page"/>
      </w:r>
    </w:p>
    <w:p w14:paraId="3CBF1852" w14:textId="77777777" w:rsidR="006F2325" w:rsidRPr="006F2325" w:rsidRDefault="006F2325" w:rsidP="006F2325">
      <w:pPr>
        <w:widowControl/>
        <w:jc w:val="left"/>
        <w:rPr>
          <w:rFonts w:ascii="Times New Roman" w:eastAsia="宋体" w:hAnsi="Times New Roman" w:cs="Times New Roman"/>
          <w:kern w:val="0"/>
          <w:sz w:val="24"/>
          <w:szCs w:val="24"/>
        </w:rPr>
      </w:pPr>
      <w:r w:rsidRPr="006F2325">
        <w:rPr>
          <w:rFonts w:ascii="Times New Roman" w:eastAsia="宋体" w:hAnsi="Times New Roman" w:cs="Times New Roman"/>
          <w:b/>
          <w:kern w:val="0"/>
          <w:sz w:val="24"/>
          <w:szCs w:val="24"/>
        </w:rPr>
        <w:lastRenderedPageBreak/>
        <w:t>Table 2. The function of different molecules related to PI3K/AKT pathway in CECs and CECs-related diseases.</w:t>
      </w:r>
    </w:p>
    <w:tbl>
      <w:tblPr>
        <w:tblW w:w="9930" w:type="dxa"/>
        <w:jc w:val="center"/>
        <w:tblLayout w:type="fixed"/>
        <w:tblLook w:val="04A0" w:firstRow="1" w:lastRow="0" w:firstColumn="1" w:lastColumn="0" w:noHBand="0" w:noVBand="1"/>
      </w:tblPr>
      <w:tblGrid>
        <w:gridCol w:w="1560"/>
        <w:gridCol w:w="2693"/>
        <w:gridCol w:w="1984"/>
        <w:gridCol w:w="1276"/>
        <w:gridCol w:w="1424"/>
        <w:gridCol w:w="993"/>
      </w:tblGrid>
      <w:tr w:rsidR="006F2325" w:rsidRPr="006F2325" w14:paraId="2EDA66CE" w14:textId="77777777" w:rsidTr="00D17E90">
        <w:trPr>
          <w:trHeight w:val="229"/>
          <w:jc w:val="center"/>
        </w:trPr>
        <w:tc>
          <w:tcPr>
            <w:tcW w:w="1560" w:type="dxa"/>
            <w:tcBorders>
              <w:top w:val="single" w:sz="4" w:space="0" w:color="auto"/>
              <w:left w:val="nil"/>
              <w:bottom w:val="single" w:sz="4" w:space="0" w:color="auto"/>
              <w:right w:val="nil"/>
            </w:tcBorders>
            <w:vAlign w:val="center"/>
            <w:hideMark/>
          </w:tcPr>
          <w:p w14:paraId="0A14D4D0" w14:textId="77777777" w:rsidR="006F2325" w:rsidRPr="006F2325" w:rsidRDefault="006F2325">
            <w:pPr>
              <w:widowControl/>
              <w:spacing w:line="0" w:lineRule="atLeast"/>
              <w:jc w:val="center"/>
              <w:rPr>
                <w:rFonts w:ascii="Times New Roman" w:eastAsia="宋体" w:hAnsi="Times New Roman" w:cs="Times New Roman"/>
                <w:b/>
                <w:bCs/>
                <w:kern w:val="0"/>
                <w:sz w:val="12"/>
                <w:szCs w:val="12"/>
              </w:rPr>
            </w:pPr>
            <w:r w:rsidRPr="006F2325">
              <w:rPr>
                <w:rFonts w:ascii="Times New Roman" w:eastAsia="宋体" w:hAnsi="Times New Roman" w:cs="Times New Roman"/>
                <w:b/>
                <w:bCs/>
                <w:kern w:val="0"/>
                <w:sz w:val="12"/>
                <w:szCs w:val="12"/>
              </w:rPr>
              <w:t>Molecular name</w:t>
            </w:r>
          </w:p>
        </w:tc>
        <w:tc>
          <w:tcPr>
            <w:tcW w:w="2693" w:type="dxa"/>
            <w:tcBorders>
              <w:top w:val="single" w:sz="4" w:space="0" w:color="auto"/>
              <w:left w:val="nil"/>
              <w:bottom w:val="single" w:sz="4" w:space="0" w:color="auto"/>
              <w:right w:val="nil"/>
            </w:tcBorders>
            <w:vAlign w:val="center"/>
            <w:hideMark/>
          </w:tcPr>
          <w:p w14:paraId="5C34ECED" w14:textId="77777777" w:rsidR="006F2325" w:rsidRPr="006F2325" w:rsidRDefault="006F2325">
            <w:pPr>
              <w:widowControl/>
              <w:spacing w:line="0" w:lineRule="atLeast"/>
              <w:jc w:val="center"/>
              <w:rPr>
                <w:rFonts w:ascii="Times New Roman" w:eastAsia="等线" w:hAnsi="Times New Roman" w:cs="Times New Roman"/>
                <w:b/>
                <w:bCs/>
                <w:kern w:val="0"/>
                <w:sz w:val="12"/>
                <w:szCs w:val="12"/>
              </w:rPr>
            </w:pPr>
            <w:r w:rsidRPr="006F2325">
              <w:rPr>
                <w:rFonts w:ascii="Times New Roman" w:eastAsia="等线" w:hAnsi="Times New Roman" w:cs="Times New Roman"/>
                <w:b/>
                <w:bCs/>
                <w:kern w:val="0"/>
                <w:sz w:val="12"/>
                <w:szCs w:val="12"/>
              </w:rPr>
              <w:t>Molecular Function</w:t>
            </w:r>
          </w:p>
        </w:tc>
        <w:tc>
          <w:tcPr>
            <w:tcW w:w="1984" w:type="dxa"/>
            <w:tcBorders>
              <w:top w:val="single" w:sz="4" w:space="0" w:color="auto"/>
              <w:left w:val="nil"/>
              <w:bottom w:val="single" w:sz="4" w:space="0" w:color="auto"/>
              <w:right w:val="nil"/>
            </w:tcBorders>
            <w:vAlign w:val="center"/>
            <w:hideMark/>
          </w:tcPr>
          <w:p w14:paraId="7572373B" w14:textId="77777777" w:rsidR="006F2325" w:rsidRPr="006F2325" w:rsidRDefault="006F2325">
            <w:pPr>
              <w:widowControl/>
              <w:spacing w:line="0" w:lineRule="atLeast"/>
              <w:jc w:val="center"/>
              <w:rPr>
                <w:rFonts w:ascii="Times New Roman" w:eastAsia="宋体" w:hAnsi="Times New Roman" w:cs="Times New Roman"/>
                <w:b/>
                <w:bCs/>
                <w:kern w:val="0"/>
                <w:sz w:val="12"/>
                <w:szCs w:val="12"/>
              </w:rPr>
            </w:pPr>
            <w:r w:rsidRPr="006F2325">
              <w:rPr>
                <w:rFonts w:ascii="Times New Roman" w:eastAsia="宋体" w:hAnsi="Times New Roman" w:cs="Times New Roman"/>
                <w:b/>
                <w:bCs/>
                <w:kern w:val="0"/>
                <w:sz w:val="12"/>
                <w:szCs w:val="12"/>
              </w:rPr>
              <w:t>Biological function in CECs</w:t>
            </w:r>
          </w:p>
        </w:tc>
        <w:tc>
          <w:tcPr>
            <w:tcW w:w="1276" w:type="dxa"/>
            <w:tcBorders>
              <w:top w:val="single" w:sz="4" w:space="0" w:color="auto"/>
              <w:left w:val="nil"/>
              <w:bottom w:val="single" w:sz="4" w:space="0" w:color="auto"/>
              <w:right w:val="nil"/>
            </w:tcBorders>
            <w:vAlign w:val="center"/>
            <w:hideMark/>
          </w:tcPr>
          <w:p w14:paraId="39BDCB4B" w14:textId="77777777" w:rsidR="006F2325" w:rsidRPr="006F2325" w:rsidRDefault="006F2325">
            <w:pPr>
              <w:widowControl/>
              <w:spacing w:line="0" w:lineRule="atLeast"/>
              <w:jc w:val="center"/>
              <w:rPr>
                <w:rFonts w:ascii="Times New Roman" w:eastAsia="宋体" w:hAnsi="Times New Roman" w:cs="Times New Roman"/>
                <w:b/>
                <w:bCs/>
                <w:kern w:val="0"/>
                <w:sz w:val="12"/>
                <w:szCs w:val="12"/>
              </w:rPr>
            </w:pPr>
            <w:r w:rsidRPr="006F2325">
              <w:rPr>
                <w:rFonts w:ascii="Times New Roman" w:eastAsia="宋体" w:hAnsi="Times New Roman" w:cs="Times New Roman"/>
                <w:b/>
                <w:bCs/>
                <w:kern w:val="0"/>
                <w:sz w:val="12"/>
                <w:szCs w:val="12"/>
              </w:rPr>
              <w:t>Regulators</w:t>
            </w:r>
          </w:p>
        </w:tc>
        <w:tc>
          <w:tcPr>
            <w:tcW w:w="1424" w:type="dxa"/>
            <w:tcBorders>
              <w:top w:val="single" w:sz="4" w:space="0" w:color="auto"/>
              <w:left w:val="nil"/>
              <w:bottom w:val="single" w:sz="4" w:space="0" w:color="auto"/>
              <w:right w:val="nil"/>
            </w:tcBorders>
            <w:vAlign w:val="center"/>
            <w:hideMark/>
          </w:tcPr>
          <w:p w14:paraId="412CD5A3" w14:textId="77777777" w:rsidR="006F2325" w:rsidRPr="006F2325" w:rsidRDefault="006F2325">
            <w:pPr>
              <w:widowControl/>
              <w:spacing w:line="0" w:lineRule="atLeast"/>
              <w:jc w:val="center"/>
              <w:rPr>
                <w:rFonts w:ascii="Times New Roman" w:eastAsia="等线" w:hAnsi="Times New Roman" w:cs="Times New Roman"/>
                <w:b/>
                <w:bCs/>
                <w:kern w:val="0"/>
                <w:sz w:val="12"/>
                <w:szCs w:val="12"/>
              </w:rPr>
            </w:pPr>
            <w:r w:rsidRPr="006F2325">
              <w:rPr>
                <w:rFonts w:ascii="Times New Roman" w:eastAsia="等线" w:hAnsi="Times New Roman" w:cs="Times New Roman"/>
                <w:b/>
                <w:bCs/>
                <w:kern w:val="0"/>
                <w:sz w:val="12"/>
                <w:szCs w:val="12"/>
              </w:rPr>
              <w:t>Subcellular location</w:t>
            </w:r>
          </w:p>
        </w:tc>
        <w:tc>
          <w:tcPr>
            <w:tcW w:w="993" w:type="dxa"/>
            <w:tcBorders>
              <w:top w:val="single" w:sz="4" w:space="0" w:color="auto"/>
              <w:left w:val="nil"/>
              <w:bottom w:val="single" w:sz="4" w:space="0" w:color="auto"/>
              <w:right w:val="nil"/>
            </w:tcBorders>
            <w:vAlign w:val="center"/>
            <w:hideMark/>
          </w:tcPr>
          <w:p w14:paraId="700C9C70" w14:textId="77777777" w:rsidR="006F2325" w:rsidRPr="006F2325" w:rsidRDefault="006F2325">
            <w:pPr>
              <w:widowControl/>
              <w:spacing w:line="0" w:lineRule="atLeast"/>
              <w:jc w:val="center"/>
              <w:rPr>
                <w:rFonts w:ascii="Times New Roman" w:eastAsia="宋体" w:hAnsi="Times New Roman" w:cs="Times New Roman"/>
                <w:b/>
                <w:bCs/>
                <w:kern w:val="0"/>
                <w:sz w:val="12"/>
                <w:szCs w:val="12"/>
              </w:rPr>
            </w:pPr>
            <w:r w:rsidRPr="006F2325">
              <w:rPr>
                <w:rFonts w:ascii="Times New Roman" w:eastAsia="宋体" w:hAnsi="Times New Roman" w:cs="Times New Roman"/>
                <w:b/>
                <w:bCs/>
                <w:kern w:val="0"/>
                <w:sz w:val="12"/>
                <w:szCs w:val="12"/>
              </w:rPr>
              <w:t>Contributors</w:t>
            </w:r>
          </w:p>
        </w:tc>
      </w:tr>
      <w:tr w:rsidR="006F2325" w:rsidRPr="006F2325" w14:paraId="6D7FE2B8" w14:textId="77777777" w:rsidTr="00D17E90">
        <w:trPr>
          <w:trHeight w:val="133"/>
          <w:jc w:val="center"/>
        </w:trPr>
        <w:tc>
          <w:tcPr>
            <w:tcW w:w="1560" w:type="dxa"/>
            <w:tcBorders>
              <w:top w:val="single" w:sz="4" w:space="0" w:color="auto"/>
              <w:left w:val="nil"/>
              <w:bottom w:val="nil"/>
              <w:right w:val="nil"/>
            </w:tcBorders>
            <w:vAlign w:val="center"/>
            <w:hideMark/>
          </w:tcPr>
          <w:p w14:paraId="0BA6B8E4" w14:textId="77777777" w:rsidR="006F2325" w:rsidRPr="006F2325" w:rsidRDefault="006F2325" w:rsidP="006F2325">
            <w:pPr>
              <w:widowControl/>
              <w:spacing w:line="0" w:lineRule="atLeast"/>
              <w:jc w:val="center"/>
              <w:rPr>
                <w:rFonts w:ascii="Times New Roman" w:eastAsia="等线" w:hAnsi="Times New Roman" w:cs="Times New Roman"/>
                <w:kern w:val="0"/>
                <w:sz w:val="12"/>
                <w:szCs w:val="12"/>
              </w:rPr>
            </w:pPr>
            <w:r w:rsidRPr="006F2325">
              <w:rPr>
                <w:rFonts w:ascii="Times New Roman" w:eastAsia="宋体" w:hAnsi="Times New Roman" w:cs="Times New Roman"/>
                <w:kern w:val="0"/>
                <w:sz w:val="12"/>
                <w:szCs w:val="12"/>
              </w:rPr>
              <w:t>HB-EGF</w:t>
            </w:r>
          </w:p>
        </w:tc>
        <w:tc>
          <w:tcPr>
            <w:tcW w:w="2693" w:type="dxa"/>
            <w:tcBorders>
              <w:top w:val="single" w:sz="4" w:space="0" w:color="auto"/>
              <w:left w:val="nil"/>
              <w:bottom w:val="nil"/>
              <w:right w:val="nil"/>
            </w:tcBorders>
            <w:vAlign w:val="center"/>
            <w:hideMark/>
          </w:tcPr>
          <w:p w14:paraId="160FC451"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等线" w:hAnsi="Times New Roman" w:cs="Times New Roman"/>
                <w:kern w:val="0"/>
                <w:sz w:val="12"/>
                <w:szCs w:val="12"/>
              </w:rPr>
              <w:t xml:space="preserve">EGFR and ErbB2 binding </w:t>
            </w:r>
          </w:p>
        </w:tc>
        <w:tc>
          <w:tcPr>
            <w:tcW w:w="1984" w:type="dxa"/>
            <w:tcBorders>
              <w:top w:val="single" w:sz="4" w:space="0" w:color="auto"/>
              <w:left w:val="nil"/>
              <w:bottom w:val="nil"/>
              <w:right w:val="nil"/>
            </w:tcBorders>
            <w:vAlign w:val="center"/>
            <w:hideMark/>
          </w:tcPr>
          <w:p w14:paraId="75EB27D2"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cell migration, proliferation</w:t>
            </w:r>
          </w:p>
        </w:tc>
        <w:tc>
          <w:tcPr>
            <w:tcW w:w="1276" w:type="dxa"/>
            <w:tcBorders>
              <w:top w:val="single" w:sz="4" w:space="0" w:color="auto"/>
              <w:left w:val="nil"/>
              <w:bottom w:val="nil"/>
              <w:right w:val="nil"/>
            </w:tcBorders>
            <w:vAlign w:val="center"/>
            <w:hideMark/>
          </w:tcPr>
          <w:p w14:paraId="59639FA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Src; MMP 3,7</w:t>
            </w:r>
            <w:r w:rsidRPr="006F2325">
              <w:rPr>
                <w:rFonts w:ascii="Times New Roman" w:eastAsia="宋体" w:hAnsi="Times New Roman" w:cs="Times New Roman"/>
                <w:kern w:val="0"/>
                <w:sz w:val="12"/>
                <w:szCs w:val="12"/>
              </w:rPr>
              <w:t>；</w:t>
            </w:r>
            <w:r w:rsidR="00A44A79" w:rsidRPr="0080446F">
              <w:rPr>
                <w:rFonts w:ascii="Times New Roman" w:eastAsia="宋体" w:hAnsi="Times New Roman" w:cs="Times New Roman"/>
                <w:kern w:val="0"/>
                <w:sz w:val="12"/>
                <w:szCs w:val="12"/>
                <w:highlight w:val="yellow"/>
              </w:rPr>
              <w:t>a disintegrin and metalloproteinase</w:t>
            </w:r>
            <w:r w:rsidRPr="006F2325">
              <w:rPr>
                <w:rFonts w:ascii="Times New Roman" w:eastAsia="宋体" w:hAnsi="Times New Roman" w:cs="Times New Roman"/>
                <w:kern w:val="0"/>
                <w:sz w:val="12"/>
                <w:szCs w:val="12"/>
              </w:rPr>
              <w:t xml:space="preserve"> 9, 10, 12, 17;</w:t>
            </w:r>
          </w:p>
        </w:tc>
        <w:tc>
          <w:tcPr>
            <w:tcW w:w="1424" w:type="dxa"/>
            <w:tcBorders>
              <w:top w:val="single" w:sz="4" w:space="0" w:color="auto"/>
              <w:left w:val="nil"/>
              <w:bottom w:val="nil"/>
              <w:right w:val="nil"/>
            </w:tcBorders>
            <w:vAlign w:val="center"/>
            <w:hideMark/>
          </w:tcPr>
          <w:p w14:paraId="5DF1510A" w14:textId="7377E90F" w:rsidR="006F2325" w:rsidRPr="00EE11C8" w:rsidRDefault="00EE11C8" w:rsidP="006F2325">
            <w:pPr>
              <w:widowControl/>
              <w:spacing w:line="0" w:lineRule="atLeast"/>
              <w:jc w:val="center"/>
              <w:rPr>
                <w:rFonts w:ascii="Times New Roman" w:eastAsia="等线" w:hAnsi="Times New Roman" w:cs="Times New Roman"/>
                <w:kern w:val="0"/>
                <w:sz w:val="12"/>
                <w:szCs w:val="12"/>
                <w:highlight w:val="yellow"/>
              </w:rPr>
            </w:pPr>
            <w:r w:rsidRPr="00EE11C8">
              <w:rPr>
                <w:rFonts w:ascii="Times New Roman" w:eastAsia="Times New Roman" w:hAnsi="Times New Roman" w:cs="Times New Roman"/>
                <w:color w:val="000000"/>
                <w:kern w:val="0"/>
                <w:sz w:val="12"/>
                <w:szCs w:val="12"/>
                <w:highlight w:val="yellow"/>
              </w:rPr>
              <w:t>Plasma</w:t>
            </w:r>
            <w:r w:rsidR="006F2325" w:rsidRPr="00EE11C8">
              <w:rPr>
                <w:rFonts w:ascii="Times New Roman" w:eastAsia="等线" w:hAnsi="Times New Roman" w:cs="Times New Roman"/>
                <w:kern w:val="0"/>
                <w:sz w:val="12"/>
                <w:szCs w:val="12"/>
                <w:highlight w:val="yellow"/>
              </w:rPr>
              <w:t xml:space="preserve"> </w:t>
            </w:r>
            <w:r w:rsidR="006F2325" w:rsidRPr="00283157">
              <w:rPr>
                <w:rFonts w:ascii="Times New Roman" w:eastAsia="等线" w:hAnsi="Times New Roman" w:cs="Times New Roman"/>
                <w:kern w:val="0"/>
                <w:sz w:val="12"/>
                <w:szCs w:val="12"/>
              </w:rPr>
              <w:t>membrane</w:t>
            </w:r>
          </w:p>
        </w:tc>
        <w:tc>
          <w:tcPr>
            <w:tcW w:w="993" w:type="dxa"/>
            <w:tcBorders>
              <w:top w:val="single" w:sz="4" w:space="0" w:color="auto"/>
              <w:left w:val="nil"/>
              <w:bottom w:val="nil"/>
              <w:right w:val="nil"/>
            </w:tcBorders>
            <w:vAlign w:val="center"/>
            <w:hideMark/>
          </w:tcPr>
          <w:p w14:paraId="0DBED86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[116, 119]</w:t>
            </w:r>
          </w:p>
        </w:tc>
      </w:tr>
      <w:tr w:rsidR="006F2325" w:rsidRPr="006F2325" w14:paraId="76DFD8AE" w14:textId="77777777" w:rsidTr="00D17E90">
        <w:trPr>
          <w:trHeight w:val="55"/>
          <w:jc w:val="center"/>
        </w:trPr>
        <w:tc>
          <w:tcPr>
            <w:tcW w:w="1560" w:type="dxa"/>
            <w:shd w:val="clear" w:color="auto" w:fill="D9D9D9" w:themeFill="background1" w:themeFillShade="D9"/>
            <w:vAlign w:val="center"/>
            <w:hideMark/>
          </w:tcPr>
          <w:p w14:paraId="5E2992B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EGF, EGFR</w:t>
            </w:r>
          </w:p>
        </w:tc>
        <w:tc>
          <w:tcPr>
            <w:tcW w:w="2693" w:type="dxa"/>
            <w:shd w:val="clear" w:color="auto" w:fill="D9D9D9" w:themeFill="background1" w:themeFillShade="D9"/>
            <w:vAlign w:val="center"/>
            <w:hideMark/>
          </w:tcPr>
          <w:p w14:paraId="7BEF846C"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等线" w:hAnsi="Times New Roman" w:cs="Times New Roman"/>
                <w:kern w:val="0"/>
                <w:sz w:val="12"/>
                <w:szCs w:val="12"/>
              </w:rPr>
              <w:t>Activating PI3K/AKT signalling</w:t>
            </w:r>
          </w:p>
        </w:tc>
        <w:tc>
          <w:tcPr>
            <w:tcW w:w="1984" w:type="dxa"/>
            <w:shd w:val="clear" w:color="auto" w:fill="D9D9D9" w:themeFill="background1" w:themeFillShade="D9"/>
            <w:vAlign w:val="center"/>
            <w:hideMark/>
          </w:tcPr>
          <w:p w14:paraId="2EB817A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Anti-apoptosis</w:t>
            </w:r>
          </w:p>
        </w:tc>
        <w:tc>
          <w:tcPr>
            <w:tcW w:w="1276" w:type="dxa"/>
            <w:shd w:val="clear" w:color="auto" w:fill="D9D9D9" w:themeFill="background1" w:themeFillShade="D9"/>
            <w:vAlign w:val="center"/>
            <w:hideMark/>
          </w:tcPr>
          <w:p w14:paraId="677105D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HB-EGF</w:t>
            </w:r>
          </w:p>
        </w:tc>
        <w:tc>
          <w:tcPr>
            <w:tcW w:w="1424" w:type="dxa"/>
            <w:shd w:val="clear" w:color="auto" w:fill="D9D9D9" w:themeFill="background1" w:themeFillShade="D9"/>
            <w:vAlign w:val="center"/>
            <w:hideMark/>
          </w:tcPr>
          <w:p w14:paraId="75F8DEB7" w14:textId="35EA9DD1" w:rsidR="006F2325" w:rsidRPr="00EE11C8" w:rsidRDefault="00EE11C8" w:rsidP="006F2325">
            <w:pPr>
              <w:widowControl/>
              <w:spacing w:line="0" w:lineRule="atLeast"/>
              <w:jc w:val="center"/>
              <w:rPr>
                <w:rFonts w:ascii="Times New Roman" w:eastAsia="等线" w:hAnsi="Times New Roman" w:cs="Times New Roman"/>
                <w:kern w:val="0"/>
                <w:sz w:val="12"/>
                <w:szCs w:val="12"/>
                <w:highlight w:val="yellow"/>
              </w:rPr>
            </w:pPr>
            <w:r w:rsidRPr="00EE11C8">
              <w:rPr>
                <w:rFonts w:ascii="Times New Roman" w:eastAsia="Times New Roman" w:hAnsi="Times New Roman" w:cs="Times New Roman"/>
                <w:color w:val="000000"/>
                <w:kern w:val="0"/>
                <w:sz w:val="12"/>
                <w:szCs w:val="12"/>
                <w:highlight w:val="yellow"/>
              </w:rPr>
              <w:t>Plasma</w:t>
            </w:r>
            <w:r w:rsidR="006F2325" w:rsidRPr="00EE11C8">
              <w:rPr>
                <w:rFonts w:ascii="Times New Roman" w:eastAsia="等线" w:hAnsi="Times New Roman" w:cs="Times New Roman"/>
                <w:kern w:val="0"/>
                <w:sz w:val="12"/>
                <w:szCs w:val="12"/>
                <w:highlight w:val="yellow"/>
              </w:rPr>
              <w:t xml:space="preserve"> </w:t>
            </w:r>
            <w:r w:rsidR="006F2325" w:rsidRPr="00283157">
              <w:rPr>
                <w:rFonts w:ascii="Times New Roman" w:eastAsia="等线" w:hAnsi="Times New Roman" w:cs="Times New Roman"/>
                <w:kern w:val="0"/>
                <w:sz w:val="12"/>
                <w:szCs w:val="12"/>
              </w:rPr>
              <w:t>membrane</w:t>
            </w:r>
          </w:p>
        </w:tc>
        <w:tc>
          <w:tcPr>
            <w:tcW w:w="993" w:type="dxa"/>
            <w:shd w:val="clear" w:color="auto" w:fill="D9D9D9" w:themeFill="background1" w:themeFillShade="D9"/>
            <w:vAlign w:val="center"/>
            <w:hideMark/>
          </w:tcPr>
          <w:p w14:paraId="678510B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[119]</w:t>
            </w:r>
          </w:p>
        </w:tc>
      </w:tr>
      <w:tr w:rsidR="006F2325" w:rsidRPr="006F2325" w14:paraId="51F682A9" w14:textId="77777777" w:rsidTr="00D17E90">
        <w:trPr>
          <w:trHeight w:val="55"/>
          <w:jc w:val="center"/>
        </w:trPr>
        <w:tc>
          <w:tcPr>
            <w:tcW w:w="1560" w:type="dxa"/>
            <w:vAlign w:val="center"/>
            <w:hideMark/>
          </w:tcPr>
          <w:p w14:paraId="048889F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Pr>
                <w:rFonts w:ascii="Times New Roman" w:eastAsia="Times New Roman" w:hAnsi="Times New Roman" w:cs="Times New Roman"/>
                <w:color w:val="000000"/>
                <w:sz w:val="13"/>
                <w:szCs w:val="13"/>
              </w:rPr>
              <w:t>P</w:t>
            </w:r>
            <w:r w:rsidRPr="006F2325">
              <w:rPr>
                <w:rFonts w:ascii="Times New Roman" w:eastAsia="Times New Roman" w:hAnsi="Times New Roman" w:cs="Times New Roman"/>
                <w:color w:val="000000"/>
                <w:sz w:val="13"/>
                <w:szCs w:val="13"/>
              </w:rPr>
              <w:t>oly (ADP-ribose) polymerase</w:t>
            </w:r>
          </w:p>
        </w:tc>
        <w:tc>
          <w:tcPr>
            <w:tcW w:w="2693" w:type="dxa"/>
            <w:vAlign w:val="center"/>
            <w:hideMark/>
          </w:tcPr>
          <w:p w14:paraId="052295A4"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DNA repair</w:t>
            </w:r>
          </w:p>
        </w:tc>
        <w:tc>
          <w:tcPr>
            <w:tcW w:w="1984" w:type="dxa"/>
            <w:vAlign w:val="center"/>
            <w:hideMark/>
          </w:tcPr>
          <w:p w14:paraId="1AD3692E"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Anti-apoptosis</w:t>
            </w:r>
          </w:p>
        </w:tc>
        <w:tc>
          <w:tcPr>
            <w:tcW w:w="1276" w:type="dxa"/>
            <w:vAlign w:val="center"/>
            <w:hideMark/>
          </w:tcPr>
          <w:p w14:paraId="3B76D0D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Cas-3, 8, 9</w:t>
            </w:r>
          </w:p>
        </w:tc>
        <w:tc>
          <w:tcPr>
            <w:tcW w:w="1424" w:type="dxa"/>
            <w:vAlign w:val="center"/>
            <w:hideMark/>
          </w:tcPr>
          <w:p w14:paraId="5835CA3A" w14:textId="77777777" w:rsidR="006F2325" w:rsidRPr="006F2325" w:rsidRDefault="006F2325" w:rsidP="006F2325">
            <w:pPr>
              <w:widowControl/>
              <w:spacing w:line="0" w:lineRule="atLeast"/>
              <w:jc w:val="center"/>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Nucleus</w:t>
            </w:r>
          </w:p>
        </w:tc>
        <w:tc>
          <w:tcPr>
            <w:tcW w:w="993" w:type="dxa"/>
            <w:vAlign w:val="center"/>
            <w:hideMark/>
          </w:tcPr>
          <w:p w14:paraId="229BE6EB"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宋体" w:hAnsi="Times New Roman" w:cs="Times New Roman"/>
                <w:noProof/>
                <w:kern w:val="0"/>
                <w:sz w:val="12"/>
                <w:szCs w:val="12"/>
              </w:rPr>
              <w:t>[120]</w:t>
            </w:r>
          </w:p>
        </w:tc>
      </w:tr>
      <w:tr w:rsidR="006F2325" w:rsidRPr="006F2325" w14:paraId="2A8E2519" w14:textId="77777777" w:rsidTr="00D17E90">
        <w:trPr>
          <w:trHeight w:val="55"/>
          <w:jc w:val="center"/>
        </w:trPr>
        <w:tc>
          <w:tcPr>
            <w:tcW w:w="1560" w:type="dxa"/>
            <w:shd w:val="clear" w:color="auto" w:fill="D9D9D9" w:themeFill="background1" w:themeFillShade="D9"/>
            <w:vAlign w:val="center"/>
            <w:hideMark/>
          </w:tcPr>
          <w:p w14:paraId="78FF7D8F"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ErbB2</w:t>
            </w:r>
          </w:p>
        </w:tc>
        <w:tc>
          <w:tcPr>
            <w:tcW w:w="2693" w:type="dxa"/>
            <w:shd w:val="clear" w:color="auto" w:fill="D9D9D9" w:themeFill="background1" w:themeFillShade="D9"/>
            <w:vAlign w:val="center"/>
            <w:hideMark/>
          </w:tcPr>
          <w:p w14:paraId="7C80D3ED" w14:textId="77777777" w:rsidR="006F2325" w:rsidRPr="006F2325" w:rsidRDefault="006F2325" w:rsidP="006F2325">
            <w:pPr>
              <w:widowControl/>
              <w:spacing w:line="0" w:lineRule="atLeast"/>
              <w:jc w:val="left"/>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Receptor of HB-EGF</w:t>
            </w:r>
          </w:p>
        </w:tc>
        <w:tc>
          <w:tcPr>
            <w:tcW w:w="1984" w:type="dxa"/>
            <w:shd w:val="clear" w:color="auto" w:fill="D9D9D9" w:themeFill="background1" w:themeFillShade="D9"/>
            <w:vAlign w:val="center"/>
            <w:hideMark/>
          </w:tcPr>
          <w:p w14:paraId="754F2A66" w14:textId="77777777" w:rsidR="006F2325" w:rsidRPr="006F2325" w:rsidRDefault="006F2325" w:rsidP="006F2325">
            <w:pPr>
              <w:widowControl/>
              <w:spacing w:line="0" w:lineRule="atLeast"/>
              <w:jc w:val="left"/>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Anti-apoptosis</w:t>
            </w:r>
          </w:p>
        </w:tc>
        <w:tc>
          <w:tcPr>
            <w:tcW w:w="1276" w:type="dxa"/>
            <w:shd w:val="clear" w:color="auto" w:fill="D9D9D9" w:themeFill="background1" w:themeFillShade="D9"/>
            <w:vAlign w:val="center"/>
            <w:hideMark/>
          </w:tcPr>
          <w:p w14:paraId="791A7C45"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HB-EGF</w:t>
            </w:r>
          </w:p>
        </w:tc>
        <w:tc>
          <w:tcPr>
            <w:tcW w:w="1424" w:type="dxa"/>
            <w:shd w:val="clear" w:color="auto" w:fill="D9D9D9" w:themeFill="background1" w:themeFillShade="D9"/>
            <w:vAlign w:val="center"/>
            <w:hideMark/>
          </w:tcPr>
          <w:p w14:paraId="081E4E98"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Plasma membrane</w:t>
            </w:r>
            <w:r w:rsidR="00D17E90">
              <w:rPr>
                <w:rFonts w:ascii="Times New Roman" w:eastAsia="Times New Roman" w:hAnsi="Times New Roman" w:cs="Times New Roman"/>
                <w:color w:val="000000"/>
                <w:kern w:val="0"/>
                <w:sz w:val="12"/>
                <w:szCs w:val="12"/>
              </w:rPr>
              <w:t xml:space="preserve"> and</w:t>
            </w:r>
            <w:r w:rsidRPr="006F2325">
              <w:rPr>
                <w:rFonts w:ascii="Times New Roman" w:eastAsia="Times New Roman" w:hAnsi="Times New Roman" w:cs="Times New Roman"/>
                <w:color w:val="000000"/>
                <w:kern w:val="0"/>
                <w:sz w:val="12"/>
                <w:szCs w:val="12"/>
              </w:rPr>
              <w:t xml:space="preserve"> </w:t>
            </w:r>
            <w:r w:rsidR="00D17E90">
              <w:rPr>
                <w:rFonts w:ascii="Times New Roman" w:eastAsia="Times New Roman" w:hAnsi="Times New Roman" w:cs="Times New Roman"/>
                <w:color w:val="000000"/>
                <w:kern w:val="0"/>
                <w:sz w:val="12"/>
                <w:szCs w:val="12"/>
              </w:rPr>
              <w:t>n</w:t>
            </w:r>
            <w:r w:rsidRPr="006F2325">
              <w:rPr>
                <w:rFonts w:ascii="Times New Roman" w:eastAsia="Times New Roman" w:hAnsi="Times New Roman" w:cs="Times New Roman"/>
                <w:color w:val="000000"/>
                <w:kern w:val="0"/>
                <w:sz w:val="12"/>
                <w:szCs w:val="12"/>
              </w:rPr>
              <w:t>ucleus</w:t>
            </w:r>
          </w:p>
        </w:tc>
        <w:tc>
          <w:tcPr>
            <w:tcW w:w="993" w:type="dxa"/>
            <w:shd w:val="clear" w:color="auto" w:fill="D9D9D9" w:themeFill="background1" w:themeFillShade="D9"/>
            <w:vAlign w:val="center"/>
            <w:hideMark/>
          </w:tcPr>
          <w:p w14:paraId="0DB9C383"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宋体" w:hAnsi="Times New Roman" w:cs="Times New Roman"/>
                <w:noProof/>
                <w:kern w:val="0"/>
                <w:sz w:val="12"/>
                <w:szCs w:val="12"/>
              </w:rPr>
              <w:t>[121]</w:t>
            </w:r>
          </w:p>
        </w:tc>
      </w:tr>
      <w:tr w:rsidR="006F2325" w:rsidRPr="006F2325" w14:paraId="340137F4" w14:textId="77777777" w:rsidTr="00D17E90">
        <w:trPr>
          <w:trHeight w:val="55"/>
          <w:jc w:val="center"/>
        </w:trPr>
        <w:tc>
          <w:tcPr>
            <w:tcW w:w="1560" w:type="dxa"/>
            <w:vAlign w:val="center"/>
            <w:hideMark/>
          </w:tcPr>
          <w:p w14:paraId="2A3205E0"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Src</w:t>
            </w:r>
          </w:p>
        </w:tc>
        <w:tc>
          <w:tcPr>
            <w:tcW w:w="2693" w:type="dxa"/>
            <w:vAlign w:val="center"/>
            <w:hideMark/>
          </w:tcPr>
          <w:p w14:paraId="5C183B63" w14:textId="77777777" w:rsidR="006F2325" w:rsidRPr="006F2325" w:rsidRDefault="006F2325" w:rsidP="006F2325">
            <w:pPr>
              <w:widowControl/>
              <w:spacing w:line="0" w:lineRule="atLeast"/>
              <w:jc w:val="left"/>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Inducing ectodomain shedding of HB-EGF, and playing as se</w:t>
            </w:r>
            <w:r w:rsidRPr="006F2325">
              <w:rPr>
                <w:rFonts w:ascii="Times New Roman" w:eastAsia="Times New Roman" w:hAnsi="Times New Roman" w:cs="Times New Roman"/>
                <w:color w:val="222222"/>
                <w:kern w:val="0"/>
                <w:sz w:val="12"/>
                <w:szCs w:val="12"/>
              </w:rPr>
              <w:t>cond messenger of EGFR</w:t>
            </w:r>
          </w:p>
        </w:tc>
        <w:tc>
          <w:tcPr>
            <w:tcW w:w="1984" w:type="dxa"/>
            <w:vAlign w:val="center"/>
            <w:hideMark/>
          </w:tcPr>
          <w:p w14:paraId="28AB3D14" w14:textId="77777777" w:rsidR="006F2325" w:rsidRPr="006F2325" w:rsidRDefault="006F2325" w:rsidP="006F2325">
            <w:pPr>
              <w:widowControl/>
              <w:spacing w:line="0" w:lineRule="atLeast"/>
              <w:jc w:val="left"/>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Proliferation and anti-apoptosis</w:t>
            </w:r>
          </w:p>
        </w:tc>
        <w:tc>
          <w:tcPr>
            <w:tcW w:w="1276" w:type="dxa"/>
            <w:vAlign w:val="center"/>
            <w:hideMark/>
          </w:tcPr>
          <w:p w14:paraId="4C52E242"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kern w:val="0"/>
                <w:sz w:val="12"/>
                <w:szCs w:val="12"/>
              </w:rPr>
              <w:t>Ca</w:t>
            </w:r>
            <w:r w:rsidRPr="006F2325">
              <w:rPr>
                <w:rFonts w:ascii="Times New Roman" w:eastAsia="Times New Roman" w:hAnsi="Times New Roman" w:cs="Times New Roman"/>
                <w:kern w:val="0"/>
                <w:sz w:val="12"/>
                <w:szCs w:val="12"/>
                <w:vertAlign w:val="superscript"/>
              </w:rPr>
              <w:t>2+</w:t>
            </w:r>
            <w:r w:rsidRPr="006F2325">
              <w:rPr>
                <w:rFonts w:ascii="Times New Roman" w:eastAsia="Times New Roman" w:hAnsi="Times New Roman" w:cs="Times New Roman"/>
                <w:kern w:val="0"/>
                <w:sz w:val="12"/>
                <w:szCs w:val="12"/>
              </w:rPr>
              <w:t xml:space="preserve">, </w:t>
            </w:r>
            <w:r w:rsidRPr="006F2325">
              <w:rPr>
                <w:rFonts w:ascii="Times New Roman" w:eastAsia="Times New Roman" w:hAnsi="Times New Roman" w:cs="Times New Roman"/>
                <w:color w:val="000000"/>
                <w:kern w:val="0"/>
                <w:sz w:val="12"/>
                <w:szCs w:val="12"/>
              </w:rPr>
              <w:t>EGFR, ErbB2</w:t>
            </w:r>
          </w:p>
        </w:tc>
        <w:tc>
          <w:tcPr>
            <w:tcW w:w="1424" w:type="dxa"/>
            <w:vAlign w:val="center"/>
            <w:hideMark/>
          </w:tcPr>
          <w:p w14:paraId="22BEEE72" w14:textId="77777777" w:rsidR="006F2325" w:rsidRPr="006F2325" w:rsidRDefault="006F2325" w:rsidP="006F2325">
            <w:pPr>
              <w:widowControl/>
              <w:spacing w:line="0" w:lineRule="atLeast"/>
              <w:jc w:val="center"/>
              <w:rPr>
                <w:rFonts w:ascii="Times New Roman" w:eastAsia="Times New Roman" w:hAnsi="Times New Roman" w:cs="Times New Roman"/>
                <w:color w:val="000000"/>
                <w:kern w:val="0"/>
                <w:sz w:val="12"/>
                <w:szCs w:val="12"/>
              </w:rPr>
            </w:pPr>
            <w:r w:rsidRPr="006F2325">
              <w:rPr>
                <w:rFonts w:ascii="Times New Roman" w:eastAsia="Times New Roman" w:hAnsi="Times New Roman" w:cs="Times New Roman"/>
                <w:color w:val="000000"/>
                <w:kern w:val="0"/>
                <w:sz w:val="12"/>
                <w:szCs w:val="12"/>
              </w:rPr>
              <w:t>Cytoplasm</w:t>
            </w:r>
          </w:p>
        </w:tc>
        <w:tc>
          <w:tcPr>
            <w:tcW w:w="993" w:type="dxa"/>
            <w:vAlign w:val="center"/>
            <w:hideMark/>
          </w:tcPr>
          <w:p w14:paraId="11CE578B"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Times New Roman" w:hAnsi="Times New Roman" w:cs="Times New Roman"/>
                <w:noProof/>
                <w:color w:val="000000"/>
                <w:kern w:val="0"/>
                <w:sz w:val="12"/>
                <w:szCs w:val="12"/>
              </w:rPr>
              <w:t>[120]</w:t>
            </w:r>
          </w:p>
        </w:tc>
      </w:tr>
      <w:tr w:rsidR="006F2325" w:rsidRPr="006F2325" w14:paraId="6E7DC50A" w14:textId="77777777" w:rsidTr="00D17E90">
        <w:trPr>
          <w:trHeight w:val="65"/>
          <w:jc w:val="center"/>
        </w:trPr>
        <w:tc>
          <w:tcPr>
            <w:tcW w:w="1560" w:type="dxa"/>
            <w:shd w:val="clear" w:color="auto" w:fill="D9D9D9" w:themeFill="background1" w:themeFillShade="D9"/>
            <w:vAlign w:val="center"/>
            <w:hideMark/>
          </w:tcPr>
          <w:p w14:paraId="2DCC57E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TGF-β</w:t>
            </w:r>
          </w:p>
        </w:tc>
        <w:tc>
          <w:tcPr>
            <w:tcW w:w="2693" w:type="dxa"/>
            <w:shd w:val="clear" w:color="auto" w:fill="D9D9D9" w:themeFill="background1" w:themeFillShade="D9"/>
            <w:vAlign w:val="center"/>
            <w:hideMark/>
          </w:tcPr>
          <w:p w14:paraId="1355A8C4"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等线" w:hAnsi="Times New Roman" w:cs="Times New Roman"/>
                <w:kern w:val="0"/>
                <w:sz w:val="12"/>
                <w:szCs w:val="12"/>
              </w:rPr>
              <w:t>Activate PI3K/AKT and MAPK signalling pathway</w:t>
            </w:r>
          </w:p>
        </w:tc>
        <w:tc>
          <w:tcPr>
            <w:tcW w:w="1984" w:type="dxa"/>
            <w:shd w:val="clear" w:color="auto" w:fill="D9D9D9" w:themeFill="background1" w:themeFillShade="D9"/>
            <w:vAlign w:val="center"/>
            <w:hideMark/>
          </w:tcPr>
          <w:p w14:paraId="58382B3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Epithelial mesenchymal transition, keratitis, wound healing</w:t>
            </w:r>
          </w:p>
        </w:tc>
        <w:tc>
          <w:tcPr>
            <w:tcW w:w="1276" w:type="dxa"/>
            <w:shd w:val="clear" w:color="auto" w:fill="D9D9D9" w:themeFill="background1" w:themeFillShade="D9"/>
            <w:vAlign w:val="center"/>
            <w:hideMark/>
          </w:tcPr>
          <w:p w14:paraId="7DDF9A4C" w14:textId="77777777" w:rsidR="006F2325" w:rsidRPr="006F2325" w:rsidRDefault="00A44A79"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P</w:t>
            </w:r>
            <w:r w:rsidR="006F2325" w:rsidRPr="006F2325">
              <w:rPr>
                <w:rFonts w:ascii="Times New Roman" w:eastAsia="宋体" w:hAnsi="Times New Roman" w:cs="Times New Roman"/>
                <w:kern w:val="0"/>
                <w:sz w:val="12"/>
                <w:szCs w:val="12"/>
              </w:rPr>
              <w:t>eucine-rich alpha-2-glycoprotein</w:t>
            </w:r>
          </w:p>
        </w:tc>
        <w:tc>
          <w:tcPr>
            <w:tcW w:w="1424" w:type="dxa"/>
            <w:shd w:val="clear" w:color="auto" w:fill="D9D9D9" w:themeFill="background1" w:themeFillShade="D9"/>
            <w:vAlign w:val="center"/>
            <w:hideMark/>
          </w:tcPr>
          <w:p w14:paraId="062F5F55" w14:textId="77777777" w:rsidR="006F2325" w:rsidRPr="006F2325" w:rsidRDefault="006F2325" w:rsidP="006F2325">
            <w:pPr>
              <w:widowControl/>
              <w:spacing w:line="0" w:lineRule="atLeast"/>
              <w:jc w:val="center"/>
              <w:rPr>
                <w:rFonts w:ascii="Times New Roman" w:eastAsia="等线" w:hAnsi="Times New Roman" w:cs="Times New Roman"/>
                <w:kern w:val="0"/>
                <w:sz w:val="12"/>
                <w:szCs w:val="12"/>
              </w:rPr>
            </w:pPr>
            <w:r w:rsidRPr="006F2325">
              <w:rPr>
                <w:rFonts w:ascii="Times New Roman" w:eastAsia="等线" w:hAnsi="Times New Roman" w:cs="Times New Roman"/>
                <w:kern w:val="0"/>
                <w:sz w:val="12"/>
                <w:szCs w:val="12"/>
              </w:rPr>
              <w:t>Extracellular region</w:t>
            </w:r>
          </w:p>
        </w:tc>
        <w:tc>
          <w:tcPr>
            <w:tcW w:w="993" w:type="dxa"/>
            <w:shd w:val="clear" w:color="auto" w:fill="D9D9D9" w:themeFill="background1" w:themeFillShade="D9"/>
            <w:vAlign w:val="center"/>
            <w:hideMark/>
          </w:tcPr>
          <w:p w14:paraId="6268EDF5"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宋体" w:hAnsi="Times New Roman" w:cs="Times New Roman"/>
                <w:noProof/>
                <w:kern w:val="0"/>
                <w:sz w:val="12"/>
                <w:szCs w:val="12"/>
              </w:rPr>
              <w:t>[122]</w:t>
            </w:r>
          </w:p>
        </w:tc>
      </w:tr>
      <w:tr w:rsidR="006F2325" w:rsidRPr="006F2325" w14:paraId="5B8FA402" w14:textId="77777777" w:rsidTr="00D17E90">
        <w:trPr>
          <w:trHeight w:val="113"/>
          <w:jc w:val="center"/>
        </w:trPr>
        <w:tc>
          <w:tcPr>
            <w:tcW w:w="1560" w:type="dxa"/>
            <w:vAlign w:val="center"/>
            <w:hideMark/>
          </w:tcPr>
          <w:p w14:paraId="69FD063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MAPK(P38)</w:t>
            </w:r>
          </w:p>
        </w:tc>
        <w:tc>
          <w:tcPr>
            <w:tcW w:w="2693" w:type="dxa"/>
            <w:vAlign w:val="center"/>
            <w:hideMark/>
          </w:tcPr>
          <w:p w14:paraId="2AE385DB"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Inhibtied by EGF signalling and</w:t>
            </w:r>
            <w:r w:rsidRPr="006F2325">
              <w:rPr>
                <w:rFonts w:ascii="Times New Roman" w:eastAsia="Times New Roman" w:hAnsi="Times New Roman" w:cs="Times New Roman"/>
                <w:kern w:val="0"/>
                <w:sz w:val="12"/>
                <w:szCs w:val="12"/>
              </w:rPr>
              <w:t xml:space="preserve"> inhibiting TGF-β</w:t>
            </w:r>
          </w:p>
        </w:tc>
        <w:tc>
          <w:tcPr>
            <w:tcW w:w="1984" w:type="dxa"/>
            <w:vAlign w:val="center"/>
            <w:hideMark/>
          </w:tcPr>
          <w:p w14:paraId="7592E64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Apoptosis</w:t>
            </w:r>
          </w:p>
        </w:tc>
        <w:tc>
          <w:tcPr>
            <w:tcW w:w="1276" w:type="dxa"/>
            <w:vAlign w:val="center"/>
            <w:hideMark/>
          </w:tcPr>
          <w:p w14:paraId="1F99ACE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EGF</w:t>
            </w:r>
          </w:p>
        </w:tc>
        <w:tc>
          <w:tcPr>
            <w:tcW w:w="1424" w:type="dxa"/>
            <w:vAlign w:val="center"/>
            <w:hideMark/>
          </w:tcPr>
          <w:p w14:paraId="658A0149" w14:textId="77777777" w:rsidR="006F2325" w:rsidRPr="006F2325" w:rsidRDefault="006F2325" w:rsidP="006F2325">
            <w:pPr>
              <w:widowControl/>
              <w:spacing w:line="0" w:lineRule="atLeast"/>
              <w:jc w:val="center"/>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 xml:space="preserve">Cytosol and </w:t>
            </w:r>
            <w:r w:rsidR="00D17E90">
              <w:rPr>
                <w:rFonts w:ascii="Times New Roman" w:eastAsia="Times New Roman" w:hAnsi="Times New Roman" w:cs="Times New Roman"/>
                <w:color w:val="000000"/>
                <w:kern w:val="0"/>
                <w:sz w:val="12"/>
                <w:szCs w:val="12"/>
              </w:rPr>
              <w:t>n</w:t>
            </w:r>
            <w:r w:rsidRPr="006F2325">
              <w:rPr>
                <w:rFonts w:ascii="Times New Roman" w:eastAsia="Times New Roman" w:hAnsi="Times New Roman" w:cs="Times New Roman"/>
                <w:color w:val="000000"/>
                <w:kern w:val="0"/>
                <w:sz w:val="12"/>
                <w:szCs w:val="12"/>
              </w:rPr>
              <w:t>ucleus</w:t>
            </w:r>
          </w:p>
        </w:tc>
        <w:tc>
          <w:tcPr>
            <w:tcW w:w="993" w:type="dxa"/>
            <w:vAlign w:val="center"/>
            <w:hideMark/>
          </w:tcPr>
          <w:p w14:paraId="7A604DA5"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宋体" w:hAnsi="Times New Roman" w:cs="Times New Roman"/>
                <w:noProof/>
                <w:kern w:val="0"/>
                <w:sz w:val="12"/>
                <w:szCs w:val="12"/>
              </w:rPr>
              <w:t>[123]</w:t>
            </w:r>
          </w:p>
        </w:tc>
      </w:tr>
      <w:tr w:rsidR="006F2325" w:rsidRPr="006F2325" w14:paraId="75389820" w14:textId="77777777" w:rsidTr="00D17E90">
        <w:trPr>
          <w:trHeight w:val="55"/>
          <w:jc w:val="center"/>
        </w:trPr>
        <w:tc>
          <w:tcPr>
            <w:tcW w:w="1560" w:type="dxa"/>
            <w:shd w:val="clear" w:color="auto" w:fill="D9D9D9" w:themeFill="background1" w:themeFillShade="D9"/>
            <w:vAlign w:val="center"/>
            <w:hideMark/>
          </w:tcPr>
          <w:p w14:paraId="3093BE5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Transforming Growth Factor β-Induced Protein</w:t>
            </w:r>
          </w:p>
        </w:tc>
        <w:tc>
          <w:tcPr>
            <w:tcW w:w="2693" w:type="dxa"/>
            <w:shd w:val="clear" w:color="auto" w:fill="D9D9D9" w:themeFill="background1" w:themeFillShade="D9"/>
            <w:vAlign w:val="center"/>
            <w:hideMark/>
          </w:tcPr>
          <w:p w14:paraId="2EF8D7E2" w14:textId="77777777" w:rsidR="006F2325" w:rsidRPr="006F2325" w:rsidRDefault="006F2325" w:rsidP="006F2325">
            <w:pPr>
              <w:widowControl/>
              <w:spacing w:line="0" w:lineRule="atLeast"/>
              <w:jc w:val="left"/>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Induced by TGF-β, binding with α3β1 integrin</w:t>
            </w:r>
          </w:p>
        </w:tc>
        <w:tc>
          <w:tcPr>
            <w:tcW w:w="1984" w:type="dxa"/>
            <w:shd w:val="clear" w:color="auto" w:fill="D9D9D9" w:themeFill="background1" w:themeFillShade="D9"/>
            <w:vAlign w:val="center"/>
            <w:hideMark/>
          </w:tcPr>
          <w:p w14:paraId="1B7EC442"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Adhesion</w:t>
            </w:r>
          </w:p>
        </w:tc>
        <w:tc>
          <w:tcPr>
            <w:tcW w:w="1276" w:type="dxa"/>
            <w:shd w:val="clear" w:color="auto" w:fill="D9D9D9" w:themeFill="background1" w:themeFillShade="D9"/>
            <w:vAlign w:val="center"/>
            <w:hideMark/>
          </w:tcPr>
          <w:p w14:paraId="693BD29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Times New Roman" w:hAnsi="Times New Roman" w:cs="Times New Roman"/>
                <w:color w:val="000000"/>
                <w:kern w:val="0"/>
                <w:sz w:val="12"/>
                <w:szCs w:val="12"/>
              </w:rPr>
              <w:t>TGF-β</w:t>
            </w:r>
          </w:p>
        </w:tc>
        <w:tc>
          <w:tcPr>
            <w:tcW w:w="1424" w:type="dxa"/>
            <w:shd w:val="clear" w:color="auto" w:fill="D9D9D9" w:themeFill="background1" w:themeFillShade="D9"/>
            <w:vAlign w:val="center"/>
            <w:hideMark/>
          </w:tcPr>
          <w:p w14:paraId="370A0687" w14:textId="77777777" w:rsidR="006F2325" w:rsidRPr="006F2325" w:rsidRDefault="006F2325" w:rsidP="006F2325">
            <w:pPr>
              <w:widowControl/>
              <w:spacing w:line="0" w:lineRule="atLeast"/>
              <w:jc w:val="center"/>
              <w:rPr>
                <w:rFonts w:ascii="Times New Roman" w:eastAsia="等线" w:hAnsi="Times New Roman" w:cs="Times New Roman"/>
                <w:kern w:val="0"/>
                <w:sz w:val="12"/>
                <w:szCs w:val="12"/>
              </w:rPr>
            </w:pPr>
            <w:r w:rsidRPr="006F2325">
              <w:rPr>
                <w:rFonts w:ascii="Times New Roman" w:eastAsia="Times New Roman" w:hAnsi="Times New Roman" w:cs="Times New Roman"/>
                <w:color w:val="000000"/>
                <w:kern w:val="0"/>
                <w:sz w:val="12"/>
                <w:szCs w:val="12"/>
              </w:rPr>
              <w:t>Extracellular matrix</w:t>
            </w:r>
          </w:p>
        </w:tc>
        <w:tc>
          <w:tcPr>
            <w:tcW w:w="993" w:type="dxa"/>
            <w:shd w:val="clear" w:color="auto" w:fill="D9D9D9" w:themeFill="background1" w:themeFillShade="D9"/>
            <w:vAlign w:val="center"/>
            <w:hideMark/>
          </w:tcPr>
          <w:p w14:paraId="16A93A91" w14:textId="77777777" w:rsidR="006F2325" w:rsidRPr="006F2325" w:rsidRDefault="006F2325" w:rsidP="006F2325">
            <w:pPr>
              <w:widowControl/>
              <w:spacing w:line="0" w:lineRule="atLeast"/>
              <w:jc w:val="center"/>
              <w:rPr>
                <w:rFonts w:ascii="Times New Roman" w:eastAsia="宋体" w:hAnsi="Times New Roman" w:cs="Times New Roman"/>
                <w:noProof/>
                <w:kern w:val="0"/>
                <w:sz w:val="12"/>
                <w:szCs w:val="12"/>
              </w:rPr>
            </w:pPr>
            <w:r w:rsidRPr="006F2325">
              <w:rPr>
                <w:rFonts w:ascii="Times New Roman" w:eastAsia="宋体" w:hAnsi="Times New Roman" w:cs="Times New Roman"/>
                <w:noProof/>
                <w:kern w:val="0"/>
                <w:sz w:val="12"/>
                <w:szCs w:val="12"/>
              </w:rPr>
              <w:t>[124]</w:t>
            </w:r>
          </w:p>
        </w:tc>
      </w:tr>
      <w:tr w:rsidR="006F2325" w:rsidRPr="006F2325" w14:paraId="1E0366D0" w14:textId="77777777" w:rsidTr="00D17E90">
        <w:trPr>
          <w:trHeight w:val="237"/>
          <w:jc w:val="center"/>
        </w:trPr>
        <w:tc>
          <w:tcPr>
            <w:tcW w:w="1560" w:type="dxa"/>
            <w:vAlign w:val="center"/>
            <w:hideMark/>
          </w:tcPr>
          <w:p w14:paraId="17310075"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eIF5A, PCNA</w:t>
            </w:r>
          </w:p>
        </w:tc>
        <w:tc>
          <w:tcPr>
            <w:tcW w:w="2693" w:type="dxa"/>
            <w:vAlign w:val="center"/>
            <w:hideMark/>
          </w:tcPr>
          <w:p w14:paraId="4DEB53A8"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The substrate of EGF/EGFR/Src/PI3K/AKT signalling pathway</w:t>
            </w:r>
          </w:p>
        </w:tc>
        <w:tc>
          <w:tcPr>
            <w:tcW w:w="1984" w:type="dxa"/>
            <w:vAlign w:val="center"/>
            <w:hideMark/>
          </w:tcPr>
          <w:p w14:paraId="57F534F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Cell migration and proliferation</w:t>
            </w:r>
          </w:p>
        </w:tc>
        <w:tc>
          <w:tcPr>
            <w:tcW w:w="1276" w:type="dxa"/>
            <w:vAlign w:val="center"/>
            <w:hideMark/>
          </w:tcPr>
          <w:p w14:paraId="74FEA965"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EGF</w:t>
            </w:r>
          </w:p>
        </w:tc>
        <w:tc>
          <w:tcPr>
            <w:tcW w:w="1424" w:type="dxa"/>
            <w:vAlign w:val="center"/>
            <w:hideMark/>
          </w:tcPr>
          <w:p w14:paraId="68B57F9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Nucleus</w:t>
            </w:r>
          </w:p>
        </w:tc>
        <w:tc>
          <w:tcPr>
            <w:tcW w:w="993" w:type="dxa"/>
            <w:vAlign w:val="center"/>
            <w:hideMark/>
          </w:tcPr>
          <w:p w14:paraId="15EC1C3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[25]</w:t>
            </w:r>
          </w:p>
        </w:tc>
      </w:tr>
      <w:tr w:rsidR="006F2325" w:rsidRPr="006F2325" w14:paraId="4ABAFEB9" w14:textId="77777777" w:rsidTr="00D17E90">
        <w:trPr>
          <w:trHeight w:val="237"/>
          <w:jc w:val="center"/>
        </w:trPr>
        <w:tc>
          <w:tcPr>
            <w:tcW w:w="1560" w:type="dxa"/>
            <w:shd w:val="clear" w:color="auto" w:fill="D9D9D9" w:themeFill="background1" w:themeFillShade="D9"/>
            <w:vAlign w:val="center"/>
            <w:hideMark/>
          </w:tcPr>
          <w:p w14:paraId="038C049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MMP-9</w:t>
            </w:r>
          </w:p>
        </w:tc>
        <w:tc>
          <w:tcPr>
            <w:tcW w:w="2693" w:type="dxa"/>
            <w:shd w:val="clear" w:color="auto" w:fill="D9D9D9" w:themeFill="background1" w:themeFillShade="D9"/>
            <w:vAlign w:val="center"/>
            <w:hideMark/>
          </w:tcPr>
          <w:p w14:paraId="2D9801B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The substrate of EGF/EGFR/Src/PI3K/AKT signalling pathway</w:t>
            </w:r>
          </w:p>
        </w:tc>
        <w:tc>
          <w:tcPr>
            <w:tcW w:w="1984" w:type="dxa"/>
            <w:shd w:val="clear" w:color="auto" w:fill="D9D9D9" w:themeFill="background1" w:themeFillShade="D9"/>
            <w:vAlign w:val="center"/>
            <w:hideMark/>
          </w:tcPr>
          <w:p w14:paraId="3B85ED65"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Cell migration and proliferation</w:t>
            </w:r>
          </w:p>
        </w:tc>
        <w:tc>
          <w:tcPr>
            <w:tcW w:w="1276" w:type="dxa"/>
            <w:shd w:val="clear" w:color="auto" w:fill="D9D9D9" w:themeFill="background1" w:themeFillShade="D9"/>
            <w:vAlign w:val="center"/>
            <w:hideMark/>
          </w:tcPr>
          <w:p w14:paraId="1BF10C7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EGF, NM</w:t>
            </w:r>
          </w:p>
        </w:tc>
        <w:tc>
          <w:tcPr>
            <w:tcW w:w="1424" w:type="dxa"/>
            <w:shd w:val="clear" w:color="auto" w:fill="D9D9D9" w:themeFill="background1" w:themeFillShade="D9"/>
            <w:vAlign w:val="center"/>
            <w:hideMark/>
          </w:tcPr>
          <w:p w14:paraId="097803B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Cytosol and </w:t>
            </w:r>
            <w:r w:rsidR="00D17E90">
              <w:rPr>
                <w:rFonts w:ascii="Times New Roman" w:eastAsia="宋体" w:hAnsi="Times New Roman" w:cs="Times New Roman"/>
                <w:kern w:val="0"/>
                <w:sz w:val="12"/>
                <w:szCs w:val="12"/>
              </w:rPr>
              <w:t>e</w:t>
            </w:r>
            <w:r w:rsidRPr="006F2325">
              <w:rPr>
                <w:rFonts w:ascii="Times New Roman" w:eastAsia="宋体" w:hAnsi="Times New Roman" w:cs="Times New Roman"/>
                <w:kern w:val="0"/>
                <w:sz w:val="12"/>
                <w:szCs w:val="12"/>
              </w:rPr>
              <w:t>xtracellular matrix</w:t>
            </w:r>
          </w:p>
        </w:tc>
        <w:tc>
          <w:tcPr>
            <w:tcW w:w="993" w:type="dxa"/>
            <w:shd w:val="clear" w:color="auto" w:fill="D9D9D9" w:themeFill="background1" w:themeFillShade="D9"/>
            <w:vAlign w:val="center"/>
            <w:hideMark/>
          </w:tcPr>
          <w:p w14:paraId="5C33CFE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[25]</w:t>
            </w:r>
          </w:p>
        </w:tc>
      </w:tr>
      <w:tr w:rsidR="006F2325" w:rsidRPr="006F2325" w14:paraId="17F45420" w14:textId="77777777" w:rsidTr="00D17E90">
        <w:trPr>
          <w:trHeight w:val="346"/>
          <w:jc w:val="center"/>
        </w:trPr>
        <w:tc>
          <w:tcPr>
            <w:tcW w:w="1560" w:type="dxa"/>
            <w:vAlign w:val="center"/>
            <w:hideMark/>
          </w:tcPr>
          <w:p w14:paraId="02CACF1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LPA</w:t>
            </w:r>
          </w:p>
        </w:tc>
        <w:tc>
          <w:tcPr>
            <w:tcW w:w="2693" w:type="dxa"/>
            <w:vAlign w:val="center"/>
            <w:hideMark/>
          </w:tcPr>
          <w:p w14:paraId="3977243B"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Transactivate EGFR and activate Src/PI3K/AKT signalling pathway </w:t>
            </w:r>
          </w:p>
        </w:tc>
        <w:tc>
          <w:tcPr>
            <w:tcW w:w="1984" w:type="dxa"/>
            <w:vAlign w:val="center"/>
            <w:hideMark/>
          </w:tcPr>
          <w:p w14:paraId="2AB5CFD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inflammation</w:t>
            </w:r>
          </w:p>
        </w:tc>
        <w:tc>
          <w:tcPr>
            <w:tcW w:w="1276" w:type="dxa"/>
            <w:vAlign w:val="center"/>
            <w:hideMark/>
          </w:tcPr>
          <w:p w14:paraId="1BF344DF" w14:textId="77777777" w:rsidR="006F2325" w:rsidRPr="006F2325" w:rsidRDefault="00A44A79"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P</w:t>
            </w:r>
            <w:r w:rsidR="006F2325" w:rsidRPr="006F2325">
              <w:rPr>
                <w:rFonts w:ascii="Times New Roman" w:eastAsia="宋体" w:hAnsi="Times New Roman" w:cs="Times New Roman"/>
                <w:kern w:val="0"/>
                <w:sz w:val="12"/>
                <w:szCs w:val="12"/>
              </w:rPr>
              <w:t>rotein phosphatase 2</w:t>
            </w:r>
          </w:p>
        </w:tc>
        <w:tc>
          <w:tcPr>
            <w:tcW w:w="1424" w:type="dxa"/>
            <w:vAlign w:val="center"/>
            <w:hideMark/>
          </w:tcPr>
          <w:p w14:paraId="5EA5E9B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p>
        </w:tc>
        <w:tc>
          <w:tcPr>
            <w:tcW w:w="993" w:type="dxa"/>
            <w:vAlign w:val="center"/>
            <w:hideMark/>
          </w:tcPr>
          <w:p w14:paraId="1E03EEF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[113, 114]</w:t>
            </w:r>
          </w:p>
        </w:tc>
      </w:tr>
      <w:tr w:rsidR="006F2325" w:rsidRPr="006F2325" w14:paraId="0458EF2B" w14:textId="77777777" w:rsidTr="00D17E90">
        <w:trPr>
          <w:trHeight w:val="114"/>
          <w:jc w:val="center"/>
        </w:trPr>
        <w:tc>
          <w:tcPr>
            <w:tcW w:w="1560" w:type="dxa"/>
            <w:shd w:val="clear" w:color="auto" w:fill="D9D9D9" w:themeFill="background1" w:themeFillShade="D9"/>
            <w:vAlign w:val="center"/>
            <w:hideMark/>
          </w:tcPr>
          <w:p w14:paraId="134C1EE7" w14:textId="77777777" w:rsidR="006F2325" w:rsidRPr="006F2325" w:rsidRDefault="00A44A79" w:rsidP="006F2325">
            <w:pPr>
              <w:widowControl/>
              <w:spacing w:line="0" w:lineRule="atLeast"/>
              <w:jc w:val="center"/>
              <w:rPr>
                <w:rFonts w:ascii="Times New Roman" w:eastAsia="宋体" w:hAnsi="Times New Roman" w:cs="Times New Roman"/>
                <w:kern w:val="0"/>
                <w:sz w:val="12"/>
                <w:szCs w:val="12"/>
              </w:rPr>
            </w:pPr>
            <w:r w:rsidRPr="00A44A79">
              <w:rPr>
                <w:rFonts w:ascii="Times New Roman" w:eastAsia="宋体" w:hAnsi="Times New Roman" w:cs="Times New Roman"/>
                <w:kern w:val="0"/>
                <w:sz w:val="12"/>
                <w:szCs w:val="12"/>
              </w:rPr>
              <w:t>G protein coupled receptor</w:t>
            </w:r>
          </w:p>
        </w:tc>
        <w:tc>
          <w:tcPr>
            <w:tcW w:w="2693" w:type="dxa"/>
            <w:shd w:val="clear" w:color="auto" w:fill="D9D9D9" w:themeFill="background1" w:themeFillShade="D9"/>
            <w:vAlign w:val="center"/>
            <w:hideMark/>
          </w:tcPr>
          <w:p w14:paraId="6A4A3E2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transactivation of </w:t>
            </w:r>
            <w:r w:rsidR="00A44A79">
              <w:rPr>
                <w:rFonts w:ascii="Times New Roman" w:eastAsia="宋体" w:hAnsi="Times New Roman" w:cs="Times New Roman"/>
                <w:kern w:val="0"/>
                <w:sz w:val="12"/>
                <w:szCs w:val="12"/>
              </w:rPr>
              <w:t>AKT signalling</w:t>
            </w:r>
          </w:p>
        </w:tc>
        <w:tc>
          <w:tcPr>
            <w:tcW w:w="1984" w:type="dxa"/>
            <w:shd w:val="clear" w:color="auto" w:fill="D9D9D9" w:themeFill="background1" w:themeFillShade="D9"/>
            <w:vAlign w:val="center"/>
            <w:hideMark/>
          </w:tcPr>
          <w:p w14:paraId="3D3EA3B9"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Proliferation and anti-apoptosis </w:t>
            </w:r>
          </w:p>
        </w:tc>
        <w:tc>
          <w:tcPr>
            <w:tcW w:w="1276" w:type="dxa"/>
            <w:shd w:val="clear" w:color="auto" w:fill="D9D9D9" w:themeFill="background1" w:themeFillShade="D9"/>
            <w:vAlign w:val="center"/>
            <w:hideMark/>
          </w:tcPr>
          <w:p w14:paraId="271BD65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LPA</w:t>
            </w:r>
          </w:p>
        </w:tc>
        <w:tc>
          <w:tcPr>
            <w:tcW w:w="1424" w:type="dxa"/>
            <w:shd w:val="clear" w:color="auto" w:fill="D9D9D9" w:themeFill="background1" w:themeFillShade="D9"/>
            <w:vAlign w:val="center"/>
            <w:hideMark/>
          </w:tcPr>
          <w:p w14:paraId="71FA6AD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w:t>
            </w:r>
          </w:p>
        </w:tc>
        <w:tc>
          <w:tcPr>
            <w:tcW w:w="993" w:type="dxa"/>
            <w:shd w:val="clear" w:color="auto" w:fill="D9D9D9" w:themeFill="background1" w:themeFillShade="D9"/>
            <w:vAlign w:val="center"/>
            <w:hideMark/>
          </w:tcPr>
          <w:p w14:paraId="2EE0E25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[125]</w:t>
            </w:r>
          </w:p>
        </w:tc>
      </w:tr>
      <w:tr w:rsidR="006F2325" w:rsidRPr="006F2325" w14:paraId="292DA995" w14:textId="77777777" w:rsidTr="00D17E90">
        <w:trPr>
          <w:trHeight w:val="218"/>
          <w:jc w:val="center"/>
        </w:trPr>
        <w:tc>
          <w:tcPr>
            <w:tcW w:w="1560" w:type="dxa"/>
            <w:vAlign w:val="center"/>
            <w:hideMark/>
          </w:tcPr>
          <w:p w14:paraId="62DBEEE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P2Y purinoceptors</w:t>
            </w:r>
          </w:p>
        </w:tc>
        <w:tc>
          <w:tcPr>
            <w:tcW w:w="2693" w:type="dxa"/>
            <w:vAlign w:val="center"/>
            <w:hideMark/>
          </w:tcPr>
          <w:p w14:paraId="2A6818A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Multi-pass membrane protein for influx of extracellular Ca</w:t>
            </w:r>
            <w:r w:rsidRPr="00A44A79">
              <w:rPr>
                <w:rFonts w:ascii="Times New Roman" w:eastAsia="宋体" w:hAnsi="Times New Roman" w:cs="Times New Roman"/>
                <w:kern w:val="0"/>
                <w:sz w:val="12"/>
                <w:szCs w:val="12"/>
                <w:vertAlign w:val="superscript"/>
              </w:rPr>
              <w:t>2+</w:t>
            </w:r>
          </w:p>
        </w:tc>
        <w:tc>
          <w:tcPr>
            <w:tcW w:w="1984" w:type="dxa"/>
            <w:vAlign w:val="center"/>
            <w:hideMark/>
          </w:tcPr>
          <w:p w14:paraId="7686ECF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Proliferation and anti-apoptosis </w:t>
            </w:r>
          </w:p>
        </w:tc>
        <w:tc>
          <w:tcPr>
            <w:tcW w:w="1276" w:type="dxa"/>
            <w:vAlign w:val="center"/>
            <w:hideMark/>
          </w:tcPr>
          <w:p w14:paraId="313D132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ATPγS</w:t>
            </w:r>
          </w:p>
        </w:tc>
        <w:tc>
          <w:tcPr>
            <w:tcW w:w="1424" w:type="dxa"/>
            <w:vAlign w:val="center"/>
            <w:hideMark/>
          </w:tcPr>
          <w:p w14:paraId="0F146FCD"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w:t>
            </w:r>
          </w:p>
        </w:tc>
        <w:tc>
          <w:tcPr>
            <w:tcW w:w="993" w:type="dxa"/>
            <w:vAlign w:val="center"/>
            <w:hideMark/>
          </w:tcPr>
          <w:p w14:paraId="1E11BA8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[126]</w:t>
            </w:r>
          </w:p>
        </w:tc>
      </w:tr>
      <w:tr w:rsidR="006F2325" w:rsidRPr="006F2325" w14:paraId="0262ED2F" w14:textId="77777777" w:rsidTr="00D17E90">
        <w:trPr>
          <w:trHeight w:val="128"/>
          <w:jc w:val="center"/>
        </w:trPr>
        <w:tc>
          <w:tcPr>
            <w:tcW w:w="1560" w:type="dxa"/>
            <w:shd w:val="clear" w:color="auto" w:fill="D9D9D9" w:themeFill="background1" w:themeFillShade="D9"/>
            <w:vAlign w:val="center"/>
            <w:hideMark/>
          </w:tcPr>
          <w:p w14:paraId="57CF791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LL-37</w:t>
            </w:r>
          </w:p>
        </w:tc>
        <w:tc>
          <w:tcPr>
            <w:tcW w:w="2693" w:type="dxa"/>
            <w:shd w:val="clear" w:color="auto" w:fill="D9D9D9" w:themeFill="background1" w:themeFillShade="D9"/>
            <w:vAlign w:val="center"/>
            <w:hideMark/>
          </w:tcPr>
          <w:p w14:paraId="4D665262"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Bind to LPS and transactivate EGFR</w:t>
            </w:r>
          </w:p>
        </w:tc>
        <w:tc>
          <w:tcPr>
            <w:tcW w:w="1984" w:type="dxa"/>
            <w:shd w:val="clear" w:color="auto" w:fill="D9D9D9" w:themeFill="background1" w:themeFillShade="D9"/>
            <w:vAlign w:val="center"/>
            <w:hideMark/>
          </w:tcPr>
          <w:p w14:paraId="69735550"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Proliferation, anti-apoptosis and anti-bacterial</w:t>
            </w:r>
          </w:p>
        </w:tc>
        <w:tc>
          <w:tcPr>
            <w:tcW w:w="1276" w:type="dxa"/>
            <w:shd w:val="clear" w:color="auto" w:fill="D9D9D9" w:themeFill="background1" w:themeFillShade="D9"/>
            <w:vAlign w:val="center"/>
            <w:hideMark/>
          </w:tcPr>
          <w:p w14:paraId="089CC47E" w14:textId="77777777" w:rsidR="006F2325" w:rsidRPr="006F2325" w:rsidRDefault="00F36CC7"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W</w:t>
            </w:r>
            <w:r w:rsidR="006F2325" w:rsidRPr="006F2325">
              <w:rPr>
                <w:rFonts w:ascii="Times New Roman" w:eastAsia="宋体" w:hAnsi="Times New Roman" w:cs="Times New Roman"/>
                <w:kern w:val="0"/>
                <w:sz w:val="12"/>
                <w:szCs w:val="12"/>
              </w:rPr>
              <w:t>ound</w:t>
            </w:r>
          </w:p>
        </w:tc>
        <w:tc>
          <w:tcPr>
            <w:tcW w:w="1424" w:type="dxa"/>
            <w:shd w:val="clear" w:color="auto" w:fill="D9D9D9" w:themeFill="background1" w:themeFillShade="D9"/>
            <w:vAlign w:val="center"/>
            <w:hideMark/>
          </w:tcPr>
          <w:p w14:paraId="012AD4D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w:t>
            </w:r>
          </w:p>
        </w:tc>
        <w:tc>
          <w:tcPr>
            <w:tcW w:w="993" w:type="dxa"/>
            <w:shd w:val="clear" w:color="auto" w:fill="D9D9D9" w:themeFill="background1" w:themeFillShade="D9"/>
            <w:vAlign w:val="center"/>
            <w:hideMark/>
          </w:tcPr>
          <w:p w14:paraId="6334F9E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[126]</w:t>
            </w:r>
          </w:p>
        </w:tc>
      </w:tr>
      <w:tr w:rsidR="006F2325" w:rsidRPr="006F2325" w14:paraId="359E8487" w14:textId="77777777" w:rsidTr="00D17E90">
        <w:trPr>
          <w:trHeight w:val="55"/>
          <w:jc w:val="center"/>
        </w:trPr>
        <w:tc>
          <w:tcPr>
            <w:tcW w:w="1560" w:type="dxa"/>
            <w:vAlign w:val="center"/>
            <w:hideMark/>
          </w:tcPr>
          <w:p w14:paraId="2831C4B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C</w:t>
            </w:r>
            <w:r w:rsidRPr="006F2325">
              <w:rPr>
                <w:rFonts w:ascii="Times New Roman" w:eastAsia="宋体" w:hAnsi="Times New Roman" w:cs="Times New Roman"/>
                <w:kern w:val="0"/>
                <w:sz w:val="12"/>
                <w:szCs w:val="12"/>
              </w:rPr>
              <w:t>apsaicin</w:t>
            </w:r>
            <w:r w:rsidR="005963FF">
              <w:rPr>
                <w:rFonts w:ascii="Times New Roman" w:eastAsia="宋体" w:hAnsi="Times New Roman" w:cs="Times New Roman" w:hint="eastAsia"/>
                <w:kern w:val="0"/>
                <w:sz w:val="12"/>
                <w:szCs w:val="12"/>
              </w:rPr>
              <w:t>,</w:t>
            </w:r>
            <w:r w:rsidR="005963FF">
              <w:rPr>
                <w:rFonts w:ascii="Times New Roman" w:eastAsia="宋体" w:hAnsi="Times New Roman" w:cs="Times New Roman"/>
                <w:kern w:val="0"/>
                <w:sz w:val="12"/>
                <w:szCs w:val="12"/>
              </w:rPr>
              <w:t xml:space="preserve"> </w:t>
            </w:r>
            <w:r w:rsidRPr="006F2325">
              <w:rPr>
                <w:rFonts w:ascii="Times New Roman" w:eastAsia="宋体" w:hAnsi="Times New Roman" w:cs="Times New Roman"/>
                <w:kern w:val="0"/>
                <w:sz w:val="12"/>
                <w:szCs w:val="12"/>
              </w:rPr>
              <w:t>cannabinoid receptor 1</w:t>
            </w:r>
          </w:p>
        </w:tc>
        <w:tc>
          <w:tcPr>
            <w:tcW w:w="2693" w:type="dxa"/>
            <w:vAlign w:val="center"/>
            <w:hideMark/>
          </w:tcPr>
          <w:p w14:paraId="18558E5C"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Mobilization from intracellular Ca</w:t>
            </w:r>
            <w:r w:rsidRPr="006F2325">
              <w:rPr>
                <w:rFonts w:ascii="Times New Roman" w:eastAsia="宋体" w:hAnsi="Times New Roman" w:cs="Times New Roman"/>
                <w:kern w:val="0"/>
                <w:sz w:val="12"/>
                <w:szCs w:val="12"/>
                <w:vertAlign w:val="superscript"/>
              </w:rPr>
              <w:t>2+</w:t>
            </w:r>
            <w:r w:rsidRPr="006F2325">
              <w:rPr>
                <w:rFonts w:ascii="Times New Roman" w:eastAsia="宋体" w:hAnsi="Times New Roman" w:cs="Times New Roman"/>
                <w:kern w:val="0"/>
                <w:sz w:val="12"/>
                <w:szCs w:val="12"/>
              </w:rPr>
              <w:t> stores</w:t>
            </w:r>
          </w:p>
        </w:tc>
        <w:tc>
          <w:tcPr>
            <w:tcW w:w="1984" w:type="dxa"/>
            <w:vAlign w:val="center"/>
            <w:hideMark/>
          </w:tcPr>
          <w:p w14:paraId="25432808"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Proliferation and anti-apoptosis</w:t>
            </w:r>
          </w:p>
        </w:tc>
        <w:tc>
          <w:tcPr>
            <w:tcW w:w="1276" w:type="dxa"/>
            <w:vAlign w:val="center"/>
            <w:hideMark/>
          </w:tcPr>
          <w:p w14:paraId="1C636EC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t>
            </w:r>
          </w:p>
        </w:tc>
        <w:tc>
          <w:tcPr>
            <w:tcW w:w="1424" w:type="dxa"/>
            <w:vAlign w:val="center"/>
            <w:hideMark/>
          </w:tcPr>
          <w:p w14:paraId="2D9CD6A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 and nucleus</w:t>
            </w:r>
          </w:p>
        </w:tc>
        <w:tc>
          <w:tcPr>
            <w:tcW w:w="993" w:type="dxa"/>
            <w:vAlign w:val="center"/>
            <w:hideMark/>
          </w:tcPr>
          <w:p w14:paraId="74E2A345"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[33]</w:t>
            </w:r>
          </w:p>
        </w:tc>
      </w:tr>
      <w:tr w:rsidR="006F2325" w:rsidRPr="006F2325" w14:paraId="4136DCB8" w14:textId="77777777" w:rsidTr="00D17E90">
        <w:trPr>
          <w:trHeight w:val="55"/>
          <w:jc w:val="center"/>
        </w:trPr>
        <w:tc>
          <w:tcPr>
            <w:tcW w:w="1560" w:type="dxa"/>
            <w:shd w:val="clear" w:color="auto" w:fill="D9D9D9" w:themeFill="background1" w:themeFillShade="D9"/>
            <w:vAlign w:val="center"/>
            <w:hideMark/>
          </w:tcPr>
          <w:p w14:paraId="1D4F0FA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M</w:t>
            </w:r>
            <w:r w:rsidRPr="006F2325">
              <w:rPr>
                <w:rFonts w:ascii="Times New Roman" w:eastAsia="宋体" w:hAnsi="Times New Roman" w:cs="Times New Roman"/>
                <w:kern w:val="0"/>
                <w:sz w:val="12"/>
                <w:szCs w:val="12"/>
              </w:rPr>
              <w:t>itogen-activated protein kinase kinase kinase win, transient receptor potential vanilloid 1</w:t>
            </w:r>
          </w:p>
        </w:tc>
        <w:tc>
          <w:tcPr>
            <w:tcW w:w="2693" w:type="dxa"/>
            <w:shd w:val="clear" w:color="auto" w:fill="D9D9D9" w:themeFill="background1" w:themeFillShade="D9"/>
            <w:vAlign w:val="center"/>
            <w:hideMark/>
          </w:tcPr>
          <w:p w14:paraId="7D174C21"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Influx of extracellular Ca</w:t>
            </w:r>
            <w:r w:rsidRPr="006F2325">
              <w:rPr>
                <w:rFonts w:ascii="Times New Roman" w:eastAsia="宋体" w:hAnsi="Times New Roman" w:cs="Times New Roman"/>
                <w:kern w:val="0"/>
                <w:sz w:val="12"/>
                <w:szCs w:val="12"/>
                <w:vertAlign w:val="superscript"/>
              </w:rPr>
              <w:t>2+</w:t>
            </w:r>
          </w:p>
        </w:tc>
        <w:tc>
          <w:tcPr>
            <w:tcW w:w="1984" w:type="dxa"/>
            <w:shd w:val="clear" w:color="auto" w:fill="D9D9D9" w:themeFill="background1" w:themeFillShade="D9"/>
            <w:vAlign w:val="center"/>
            <w:hideMark/>
          </w:tcPr>
          <w:p w14:paraId="01D09A7C"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Proliferation and anti-apoptosis</w:t>
            </w:r>
          </w:p>
        </w:tc>
        <w:tc>
          <w:tcPr>
            <w:tcW w:w="1276" w:type="dxa"/>
            <w:shd w:val="clear" w:color="auto" w:fill="D9D9D9" w:themeFill="background1" w:themeFillShade="D9"/>
            <w:vAlign w:val="center"/>
            <w:hideMark/>
          </w:tcPr>
          <w:p w14:paraId="3AC32A5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t>
            </w:r>
          </w:p>
        </w:tc>
        <w:tc>
          <w:tcPr>
            <w:tcW w:w="1424" w:type="dxa"/>
            <w:shd w:val="clear" w:color="auto" w:fill="D9D9D9" w:themeFill="background1" w:themeFillShade="D9"/>
            <w:vAlign w:val="center"/>
            <w:hideMark/>
          </w:tcPr>
          <w:p w14:paraId="6C3C144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 and nucleus</w:t>
            </w:r>
          </w:p>
        </w:tc>
        <w:tc>
          <w:tcPr>
            <w:tcW w:w="993" w:type="dxa"/>
            <w:shd w:val="clear" w:color="auto" w:fill="D9D9D9" w:themeFill="background1" w:themeFillShade="D9"/>
            <w:vAlign w:val="center"/>
            <w:hideMark/>
          </w:tcPr>
          <w:p w14:paraId="57E32CB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[33]</w:t>
            </w:r>
          </w:p>
        </w:tc>
      </w:tr>
      <w:tr w:rsidR="006F2325" w:rsidRPr="006F2325" w14:paraId="7B88CFC5" w14:textId="77777777" w:rsidTr="00D17E90">
        <w:trPr>
          <w:trHeight w:val="200"/>
          <w:jc w:val="center"/>
        </w:trPr>
        <w:tc>
          <w:tcPr>
            <w:tcW w:w="1560" w:type="dxa"/>
            <w:vAlign w:val="center"/>
            <w:hideMark/>
          </w:tcPr>
          <w:p w14:paraId="70BE44D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Paxillin</w:t>
            </w:r>
          </w:p>
        </w:tc>
        <w:tc>
          <w:tcPr>
            <w:tcW w:w="2693" w:type="dxa"/>
            <w:vAlign w:val="center"/>
            <w:hideMark/>
          </w:tcPr>
          <w:p w14:paraId="4E634584"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Cytoskeletal protein associated with actin-membrane attachment, correlating with integrin</w:t>
            </w:r>
          </w:p>
        </w:tc>
        <w:tc>
          <w:tcPr>
            <w:tcW w:w="1984" w:type="dxa"/>
            <w:vAlign w:val="center"/>
            <w:hideMark/>
          </w:tcPr>
          <w:p w14:paraId="516EC45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Adhesion(anti-migration)</w:t>
            </w:r>
          </w:p>
        </w:tc>
        <w:tc>
          <w:tcPr>
            <w:tcW w:w="1276" w:type="dxa"/>
            <w:vAlign w:val="center"/>
            <w:hideMark/>
          </w:tcPr>
          <w:p w14:paraId="216E892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GSK3β</w:t>
            </w:r>
          </w:p>
        </w:tc>
        <w:tc>
          <w:tcPr>
            <w:tcW w:w="1424" w:type="dxa"/>
            <w:vAlign w:val="center"/>
            <w:hideMark/>
          </w:tcPr>
          <w:p w14:paraId="289097AD" w14:textId="77777777" w:rsidR="006F2325" w:rsidRPr="006F2325" w:rsidRDefault="00D17E90"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C</w:t>
            </w:r>
            <w:r w:rsidR="006F2325" w:rsidRPr="006F2325">
              <w:rPr>
                <w:rFonts w:ascii="Times New Roman" w:eastAsia="宋体" w:hAnsi="Times New Roman" w:cs="Times New Roman"/>
                <w:kern w:val="0"/>
                <w:sz w:val="12"/>
                <w:szCs w:val="12"/>
              </w:rPr>
              <w:t xml:space="preserve">ell cortex and </w:t>
            </w:r>
            <w:r>
              <w:rPr>
                <w:rFonts w:ascii="Times New Roman" w:eastAsia="宋体" w:hAnsi="Times New Roman" w:cs="Times New Roman"/>
                <w:kern w:val="0"/>
                <w:sz w:val="12"/>
                <w:szCs w:val="12"/>
              </w:rPr>
              <w:t>c</w:t>
            </w:r>
            <w:r w:rsidR="006F2325" w:rsidRPr="006F2325">
              <w:rPr>
                <w:rFonts w:ascii="Times New Roman" w:eastAsia="宋体" w:hAnsi="Times New Roman" w:cs="Times New Roman"/>
                <w:kern w:val="0"/>
                <w:sz w:val="12"/>
                <w:szCs w:val="12"/>
              </w:rPr>
              <w:t>ytoskeleton</w:t>
            </w:r>
          </w:p>
        </w:tc>
        <w:tc>
          <w:tcPr>
            <w:tcW w:w="993" w:type="dxa"/>
            <w:vAlign w:val="center"/>
            <w:hideMark/>
          </w:tcPr>
          <w:p w14:paraId="4E17A10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[127]</w:t>
            </w:r>
          </w:p>
        </w:tc>
      </w:tr>
      <w:tr w:rsidR="006F2325" w:rsidRPr="006F2325" w14:paraId="263FE002" w14:textId="77777777" w:rsidTr="00D17E90">
        <w:trPr>
          <w:trHeight w:val="364"/>
          <w:jc w:val="center"/>
        </w:trPr>
        <w:tc>
          <w:tcPr>
            <w:tcW w:w="1560" w:type="dxa"/>
            <w:shd w:val="clear" w:color="auto" w:fill="D9D9D9" w:themeFill="background1" w:themeFillShade="D9"/>
            <w:vAlign w:val="center"/>
            <w:hideMark/>
          </w:tcPr>
          <w:p w14:paraId="4A97B70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F</w:t>
            </w:r>
            <w:r w:rsidRPr="006F2325">
              <w:rPr>
                <w:rFonts w:ascii="Times New Roman" w:eastAsia="宋体" w:hAnsi="Times New Roman" w:cs="Times New Roman"/>
                <w:kern w:val="0"/>
                <w:sz w:val="12"/>
                <w:szCs w:val="12"/>
              </w:rPr>
              <w:t>ocal adhesion kinase</w:t>
            </w:r>
          </w:p>
        </w:tc>
        <w:tc>
          <w:tcPr>
            <w:tcW w:w="2693" w:type="dxa"/>
            <w:shd w:val="clear" w:color="auto" w:fill="D9D9D9" w:themeFill="background1" w:themeFillShade="D9"/>
            <w:vAlign w:val="center"/>
            <w:hideMark/>
          </w:tcPr>
          <w:p w14:paraId="3956123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Activation of PI3K/AKT, maintaining focal adhesion, binding with cytosol part of integrin </w:t>
            </w:r>
          </w:p>
        </w:tc>
        <w:tc>
          <w:tcPr>
            <w:tcW w:w="1984" w:type="dxa"/>
            <w:shd w:val="clear" w:color="auto" w:fill="D9D9D9" w:themeFill="background1" w:themeFillShade="D9"/>
            <w:vAlign w:val="center"/>
            <w:hideMark/>
          </w:tcPr>
          <w:p w14:paraId="36058D11"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Adhesion(anti-migration), proliferation, anti-apoptosis</w:t>
            </w:r>
          </w:p>
        </w:tc>
        <w:tc>
          <w:tcPr>
            <w:tcW w:w="1276" w:type="dxa"/>
            <w:shd w:val="clear" w:color="auto" w:fill="D9D9D9" w:themeFill="background1" w:themeFillShade="D9"/>
            <w:vAlign w:val="center"/>
            <w:hideMark/>
          </w:tcPr>
          <w:p w14:paraId="0E018ACA" w14:textId="2898E897" w:rsidR="006F2325" w:rsidRPr="006F2325" w:rsidRDefault="0080446F" w:rsidP="006F2325">
            <w:pPr>
              <w:widowControl/>
              <w:spacing w:line="0" w:lineRule="atLeast"/>
              <w:jc w:val="center"/>
              <w:rPr>
                <w:rFonts w:ascii="Times New Roman" w:eastAsia="宋体" w:hAnsi="Times New Roman" w:cs="Times New Roman"/>
                <w:kern w:val="0"/>
                <w:sz w:val="12"/>
                <w:szCs w:val="12"/>
              </w:rPr>
            </w:pPr>
            <w:r w:rsidRPr="0080446F">
              <w:rPr>
                <w:rFonts w:ascii="Times New Roman" w:eastAsia="宋体" w:hAnsi="Times New Roman" w:cs="Times New Roman"/>
                <w:kern w:val="0"/>
                <w:sz w:val="12"/>
                <w:szCs w:val="12"/>
                <w:highlight w:val="yellow"/>
              </w:rPr>
              <w:t>Paxillin</w:t>
            </w:r>
            <w:r w:rsidR="006F2325" w:rsidRPr="006F2325">
              <w:rPr>
                <w:rFonts w:ascii="Times New Roman" w:eastAsia="宋体" w:hAnsi="Times New Roman" w:cs="Times New Roman"/>
                <w:kern w:val="0"/>
                <w:sz w:val="12"/>
                <w:szCs w:val="12"/>
              </w:rPr>
              <w:t xml:space="preserve">, </w:t>
            </w:r>
            <w:r w:rsidR="00A44A79">
              <w:rPr>
                <w:rFonts w:ascii="Times New Roman" w:eastAsia="宋体" w:hAnsi="Times New Roman" w:cs="Times New Roman"/>
                <w:kern w:val="0"/>
                <w:sz w:val="12"/>
                <w:szCs w:val="12"/>
              </w:rPr>
              <w:t>I</w:t>
            </w:r>
            <w:r w:rsidR="006F2325" w:rsidRPr="006F2325">
              <w:rPr>
                <w:rFonts w:ascii="Times New Roman" w:eastAsia="宋体" w:hAnsi="Times New Roman" w:cs="Times New Roman"/>
                <w:kern w:val="0"/>
                <w:sz w:val="12"/>
                <w:szCs w:val="12"/>
              </w:rPr>
              <w:t>ntegrin</w:t>
            </w:r>
          </w:p>
        </w:tc>
        <w:tc>
          <w:tcPr>
            <w:tcW w:w="1424" w:type="dxa"/>
            <w:shd w:val="clear" w:color="auto" w:fill="D9D9D9" w:themeFill="background1" w:themeFillShade="D9"/>
            <w:vAlign w:val="center"/>
            <w:hideMark/>
          </w:tcPr>
          <w:p w14:paraId="6C36110A" w14:textId="77777777" w:rsidR="006F2325" w:rsidRPr="006F2325" w:rsidRDefault="00D17E90"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N</w:t>
            </w:r>
            <w:r w:rsidR="006F2325" w:rsidRPr="006F2325">
              <w:rPr>
                <w:rFonts w:ascii="Times New Roman" w:eastAsia="宋体" w:hAnsi="Times New Roman" w:cs="Times New Roman"/>
                <w:kern w:val="0"/>
                <w:sz w:val="12"/>
                <w:szCs w:val="12"/>
              </w:rPr>
              <w:t xml:space="preserve">ucleus, </w:t>
            </w:r>
            <w:r>
              <w:rPr>
                <w:rFonts w:ascii="Times New Roman" w:eastAsia="宋体" w:hAnsi="Times New Roman" w:cs="Times New Roman"/>
                <w:kern w:val="0"/>
                <w:sz w:val="12"/>
                <w:szCs w:val="12"/>
              </w:rPr>
              <w:t>p</w:t>
            </w:r>
            <w:r w:rsidR="006F2325" w:rsidRPr="006F2325">
              <w:rPr>
                <w:rFonts w:ascii="Times New Roman" w:eastAsia="宋体" w:hAnsi="Times New Roman" w:cs="Times New Roman"/>
                <w:kern w:val="0"/>
                <w:sz w:val="12"/>
                <w:szCs w:val="12"/>
              </w:rPr>
              <w:t xml:space="preserve">lasma membrane, </w:t>
            </w:r>
            <w:r>
              <w:rPr>
                <w:rFonts w:ascii="Times New Roman" w:eastAsia="宋体" w:hAnsi="Times New Roman" w:cs="Times New Roman"/>
                <w:kern w:val="0"/>
                <w:sz w:val="12"/>
                <w:szCs w:val="12"/>
              </w:rPr>
              <w:t>c</w:t>
            </w:r>
            <w:r w:rsidR="006F2325" w:rsidRPr="006F2325">
              <w:rPr>
                <w:rFonts w:ascii="Times New Roman" w:eastAsia="宋体" w:hAnsi="Times New Roman" w:cs="Times New Roman"/>
                <w:kern w:val="0"/>
                <w:sz w:val="12"/>
                <w:szCs w:val="12"/>
              </w:rPr>
              <w:t>ytoskeleton</w:t>
            </w:r>
          </w:p>
        </w:tc>
        <w:tc>
          <w:tcPr>
            <w:tcW w:w="993" w:type="dxa"/>
            <w:shd w:val="clear" w:color="auto" w:fill="D9D9D9" w:themeFill="background1" w:themeFillShade="D9"/>
            <w:vAlign w:val="center"/>
            <w:hideMark/>
          </w:tcPr>
          <w:p w14:paraId="7138AC8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[127]</w:t>
            </w:r>
          </w:p>
        </w:tc>
      </w:tr>
      <w:tr w:rsidR="006F2325" w:rsidRPr="006F2325" w14:paraId="66DC8BA2" w14:textId="77777777" w:rsidTr="00D17E90">
        <w:trPr>
          <w:trHeight w:val="230"/>
          <w:jc w:val="center"/>
        </w:trPr>
        <w:tc>
          <w:tcPr>
            <w:tcW w:w="1560" w:type="dxa"/>
            <w:vAlign w:val="center"/>
            <w:hideMark/>
          </w:tcPr>
          <w:p w14:paraId="7B81774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IGF1, IGF1R</w:t>
            </w:r>
          </w:p>
        </w:tc>
        <w:tc>
          <w:tcPr>
            <w:tcW w:w="2693" w:type="dxa"/>
            <w:vAlign w:val="center"/>
            <w:hideMark/>
          </w:tcPr>
          <w:p w14:paraId="30C9D4BB"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Activating PI3K/AKT signalling</w:t>
            </w:r>
          </w:p>
        </w:tc>
        <w:tc>
          <w:tcPr>
            <w:tcW w:w="1984" w:type="dxa"/>
            <w:vAlign w:val="center"/>
            <w:hideMark/>
          </w:tcPr>
          <w:p w14:paraId="49F2E02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Cell adhesion, proliferation, survival</w:t>
            </w:r>
          </w:p>
        </w:tc>
        <w:tc>
          <w:tcPr>
            <w:tcW w:w="1276" w:type="dxa"/>
            <w:vAlign w:val="center"/>
            <w:hideMark/>
          </w:tcPr>
          <w:p w14:paraId="058EFAD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Insulin, IGF binding protein 3</w:t>
            </w:r>
          </w:p>
        </w:tc>
        <w:tc>
          <w:tcPr>
            <w:tcW w:w="1424" w:type="dxa"/>
            <w:vAlign w:val="center"/>
            <w:hideMark/>
          </w:tcPr>
          <w:p w14:paraId="5938B695"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Nucleus, </w:t>
            </w:r>
            <w:r w:rsidR="00D17E90">
              <w:rPr>
                <w:rFonts w:ascii="Times New Roman" w:eastAsia="宋体" w:hAnsi="Times New Roman" w:cs="Times New Roman"/>
                <w:kern w:val="0"/>
                <w:sz w:val="12"/>
                <w:szCs w:val="12"/>
              </w:rPr>
              <w:t>p</w:t>
            </w:r>
            <w:r w:rsidRPr="006F2325">
              <w:rPr>
                <w:rFonts w:ascii="Times New Roman" w:eastAsia="宋体" w:hAnsi="Times New Roman" w:cs="Times New Roman"/>
                <w:kern w:val="0"/>
                <w:sz w:val="12"/>
                <w:szCs w:val="12"/>
              </w:rPr>
              <w:t xml:space="preserve">lasma membrane, </w:t>
            </w:r>
            <w:r w:rsidR="00D17E90">
              <w:rPr>
                <w:rFonts w:ascii="Times New Roman" w:eastAsia="宋体" w:hAnsi="Times New Roman" w:cs="Times New Roman"/>
                <w:kern w:val="0"/>
                <w:sz w:val="12"/>
                <w:szCs w:val="12"/>
              </w:rPr>
              <w:t>c</w:t>
            </w:r>
            <w:r w:rsidRPr="006F2325">
              <w:rPr>
                <w:rFonts w:ascii="Times New Roman" w:eastAsia="宋体" w:hAnsi="Times New Roman" w:cs="Times New Roman"/>
                <w:kern w:val="0"/>
                <w:sz w:val="12"/>
                <w:szCs w:val="12"/>
              </w:rPr>
              <w:t>ytoplasm</w:t>
            </w:r>
          </w:p>
        </w:tc>
        <w:tc>
          <w:tcPr>
            <w:tcW w:w="993" w:type="dxa"/>
            <w:vAlign w:val="center"/>
            <w:hideMark/>
          </w:tcPr>
          <w:p w14:paraId="6FC154B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[35, 76]</w:t>
            </w:r>
          </w:p>
        </w:tc>
      </w:tr>
      <w:tr w:rsidR="006F2325" w:rsidRPr="006F2325" w14:paraId="5D7971C4" w14:textId="77777777" w:rsidTr="00D17E90">
        <w:trPr>
          <w:trHeight w:val="55"/>
          <w:jc w:val="center"/>
        </w:trPr>
        <w:tc>
          <w:tcPr>
            <w:tcW w:w="1560" w:type="dxa"/>
            <w:shd w:val="clear" w:color="auto" w:fill="D9D9D9" w:themeFill="background1" w:themeFillShade="D9"/>
            <w:vAlign w:val="center"/>
            <w:hideMark/>
          </w:tcPr>
          <w:p w14:paraId="35E5AFE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IGFBP3</w:t>
            </w:r>
          </w:p>
        </w:tc>
        <w:tc>
          <w:tcPr>
            <w:tcW w:w="2693" w:type="dxa"/>
            <w:shd w:val="clear" w:color="auto" w:fill="D9D9D9" w:themeFill="background1" w:themeFillShade="D9"/>
            <w:vAlign w:val="center"/>
            <w:hideMark/>
          </w:tcPr>
          <w:p w14:paraId="4798FF0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Binding with IGF1 to inhibit IGF1/IGF1R </w:t>
            </w:r>
          </w:p>
        </w:tc>
        <w:tc>
          <w:tcPr>
            <w:tcW w:w="1984" w:type="dxa"/>
            <w:shd w:val="clear" w:color="auto" w:fill="D9D9D9" w:themeFill="background1" w:themeFillShade="D9"/>
            <w:vAlign w:val="center"/>
            <w:hideMark/>
          </w:tcPr>
          <w:p w14:paraId="537CF43B"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Apoptosis, adhesion</w:t>
            </w:r>
          </w:p>
        </w:tc>
        <w:tc>
          <w:tcPr>
            <w:tcW w:w="1276" w:type="dxa"/>
            <w:shd w:val="clear" w:color="auto" w:fill="D9D9D9" w:themeFill="background1" w:themeFillShade="D9"/>
            <w:vAlign w:val="center"/>
            <w:hideMark/>
          </w:tcPr>
          <w:p w14:paraId="7BB24DDA"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P53</w:t>
            </w:r>
          </w:p>
        </w:tc>
        <w:tc>
          <w:tcPr>
            <w:tcW w:w="1424" w:type="dxa"/>
            <w:shd w:val="clear" w:color="auto" w:fill="D9D9D9" w:themeFill="background1" w:themeFillShade="D9"/>
            <w:vAlign w:val="center"/>
            <w:hideMark/>
          </w:tcPr>
          <w:p w14:paraId="02619CE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Secreted</w:t>
            </w:r>
          </w:p>
        </w:tc>
        <w:tc>
          <w:tcPr>
            <w:tcW w:w="993" w:type="dxa"/>
            <w:shd w:val="clear" w:color="auto" w:fill="D9D9D9" w:themeFill="background1" w:themeFillShade="D9"/>
            <w:vAlign w:val="center"/>
            <w:hideMark/>
          </w:tcPr>
          <w:p w14:paraId="75CD3BB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[128]</w:t>
            </w:r>
          </w:p>
        </w:tc>
      </w:tr>
      <w:tr w:rsidR="006F2325" w:rsidRPr="006F2325" w14:paraId="0FC26050" w14:textId="77777777" w:rsidTr="00D17E90">
        <w:trPr>
          <w:trHeight w:val="55"/>
          <w:jc w:val="center"/>
        </w:trPr>
        <w:tc>
          <w:tcPr>
            <w:tcW w:w="1560" w:type="dxa"/>
            <w:vAlign w:val="center"/>
            <w:hideMark/>
          </w:tcPr>
          <w:p w14:paraId="170E4E49" w14:textId="77777777" w:rsidR="006F2325" w:rsidRPr="006F2325" w:rsidRDefault="00A44A79" w:rsidP="006F2325">
            <w:pPr>
              <w:widowControl/>
              <w:spacing w:line="0" w:lineRule="atLeast"/>
              <w:jc w:val="center"/>
              <w:rPr>
                <w:rFonts w:ascii="Times New Roman" w:eastAsia="宋体" w:hAnsi="Times New Roman" w:cs="Times New Roman"/>
                <w:kern w:val="0"/>
                <w:sz w:val="12"/>
                <w:szCs w:val="12"/>
              </w:rPr>
            </w:pPr>
            <w:r w:rsidRPr="00A44A79">
              <w:rPr>
                <w:rFonts w:ascii="Times New Roman" w:eastAsia="宋体" w:hAnsi="Times New Roman" w:cs="Times New Roman"/>
                <w:kern w:val="0"/>
                <w:sz w:val="12"/>
                <w:szCs w:val="12"/>
              </w:rPr>
              <w:t>Leucine-rich alpha-2-glycoprotein</w:t>
            </w:r>
            <w:r>
              <w:rPr>
                <w:rFonts w:ascii="Times New Roman" w:eastAsia="宋体" w:hAnsi="Times New Roman" w:cs="Times New Roman"/>
                <w:kern w:val="0"/>
                <w:sz w:val="12"/>
                <w:szCs w:val="12"/>
              </w:rPr>
              <w:t xml:space="preserve"> 1</w:t>
            </w:r>
          </w:p>
        </w:tc>
        <w:tc>
          <w:tcPr>
            <w:tcW w:w="2693" w:type="dxa"/>
            <w:vAlign w:val="center"/>
            <w:hideMark/>
          </w:tcPr>
          <w:p w14:paraId="1ADE1772"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Activating TGFβR, promoting the expression of MMP-3 and MMP-13</w:t>
            </w:r>
          </w:p>
        </w:tc>
        <w:tc>
          <w:tcPr>
            <w:tcW w:w="1984" w:type="dxa"/>
            <w:vAlign w:val="center"/>
            <w:hideMark/>
          </w:tcPr>
          <w:p w14:paraId="55362A7C"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w:t>
            </w:r>
          </w:p>
        </w:tc>
        <w:tc>
          <w:tcPr>
            <w:tcW w:w="1276" w:type="dxa"/>
            <w:vAlign w:val="center"/>
            <w:hideMark/>
          </w:tcPr>
          <w:p w14:paraId="1A08A81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vAlign w:val="center"/>
            <w:hideMark/>
          </w:tcPr>
          <w:p w14:paraId="5926754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Secreted</w:t>
            </w:r>
          </w:p>
        </w:tc>
        <w:tc>
          <w:tcPr>
            <w:tcW w:w="993" w:type="dxa"/>
            <w:vAlign w:val="center"/>
            <w:hideMark/>
          </w:tcPr>
          <w:p w14:paraId="336DA0E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 </w:t>
            </w:r>
            <w:r w:rsidRPr="006F2325">
              <w:rPr>
                <w:rFonts w:ascii="Times New Roman" w:eastAsia="宋体" w:hAnsi="Times New Roman" w:cs="Times New Roman"/>
                <w:noProof/>
                <w:kern w:val="0"/>
                <w:sz w:val="12"/>
                <w:szCs w:val="12"/>
              </w:rPr>
              <w:t>[122]</w:t>
            </w:r>
          </w:p>
        </w:tc>
      </w:tr>
      <w:tr w:rsidR="006F2325" w:rsidRPr="006F2325" w14:paraId="2B6BA34D" w14:textId="77777777" w:rsidTr="00D17E90">
        <w:trPr>
          <w:trHeight w:val="55"/>
          <w:jc w:val="center"/>
        </w:trPr>
        <w:tc>
          <w:tcPr>
            <w:tcW w:w="1560" w:type="dxa"/>
            <w:shd w:val="clear" w:color="auto" w:fill="D9D9D9" w:themeFill="background1" w:themeFillShade="D9"/>
            <w:vAlign w:val="center"/>
            <w:hideMark/>
          </w:tcPr>
          <w:p w14:paraId="2EF59EDA"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SIRT1</w:t>
            </w:r>
          </w:p>
        </w:tc>
        <w:tc>
          <w:tcPr>
            <w:tcW w:w="2693" w:type="dxa"/>
            <w:shd w:val="clear" w:color="auto" w:fill="D9D9D9" w:themeFill="background1" w:themeFillShade="D9"/>
            <w:vAlign w:val="center"/>
            <w:hideMark/>
          </w:tcPr>
          <w:p w14:paraId="1FDBD71B"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Enhancing IGFBP3/IGF-1R/AKT pathway</w:t>
            </w:r>
          </w:p>
        </w:tc>
        <w:tc>
          <w:tcPr>
            <w:tcW w:w="1984" w:type="dxa"/>
            <w:shd w:val="clear" w:color="auto" w:fill="D9D9D9" w:themeFill="background1" w:themeFillShade="D9"/>
            <w:vAlign w:val="center"/>
            <w:hideMark/>
          </w:tcPr>
          <w:p w14:paraId="4FD7EC5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Proliferation and anti-apoptosis</w:t>
            </w:r>
          </w:p>
        </w:tc>
        <w:tc>
          <w:tcPr>
            <w:tcW w:w="1276" w:type="dxa"/>
            <w:shd w:val="clear" w:color="auto" w:fill="D9D9D9" w:themeFill="background1" w:themeFillShade="D9"/>
            <w:vAlign w:val="center"/>
            <w:hideMark/>
          </w:tcPr>
          <w:p w14:paraId="2992B50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NK-1R, p53</w:t>
            </w:r>
          </w:p>
        </w:tc>
        <w:tc>
          <w:tcPr>
            <w:tcW w:w="1424" w:type="dxa"/>
            <w:shd w:val="clear" w:color="auto" w:fill="D9D9D9" w:themeFill="background1" w:themeFillShade="D9"/>
            <w:vAlign w:val="center"/>
            <w:hideMark/>
          </w:tcPr>
          <w:p w14:paraId="7C3784D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Nucleus, </w:t>
            </w:r>
            <w:r w:rsidR="00D17E90">
              <w:rPr>
                <w:rFonts w:ascii="Times New Roman" w:eastAsia="宋体" w:hAnsi="Times New Roman" w:cs="Times New Roman"/>
                <w:kern w:val="0"/>
                <w:sz w:val="12"/>
                <w:szCs w:val="12"/>
              </w:rPr>
              <w:t>c</w:t>
            </w:r>
            <w:r w:rsidRPr="006F2325">
              <w:rPr>
                <w:rFonts w:ascii="Times New Roman" w:eastAsia="宋体" w:hAnsi="Times New Roman" w:cs="Times New Roman"/>
                <w:kern w:val="0"/>
                <w:sz w:val="12"/>
                <w:szCs w:val="12"/>
              </w:rPr>
              <w:t>ytoplasm, mitochondrion</w:t>
            </w:r>
          </w:p>
        </w:tc>
        <w:tc>
          <w:tcPr>
            <w:tcW w:w="993" w:type="dxa"/>
            <w:shd w:val="clear" w:color="auto" w:fill="D9D9D9" w:themeFill="background1" w:themeFillShade="D9"/>
            <w:vAlign w:val="center"/>
            <w:hideMark/>
          </w:tcPr>
          <w:p w14:paraId="78F007E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[76]</w:t>
            </w:r>
          </w:p>
        </w:tc>
      </w:tr>
      <w:tr w:rsidR="006F2325" w:rsidRPr="006F2325" w14:paraId="7D482917" w14:textId="77777777" w:rsidTr="00D17E90">
        <w:trPr>
          <w:trHeight w:val="181"/>
          <w:jc w:val="center"/>
        </w:trPr>
        <w:tc>
          <w:tcPr>
            <w:tcW w:w="1560" w:type="dxa"/>
            <w:vAlign w:val="center"/>
            <w:hideMark/>
          </w:tcPr>
          <w:p w14:paraId="5B6482F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Insulin, INSR</w:t>
            </w:r>
          </w:p>
        </w:tc>
        <w:tc>
          <w:tcPr>
            <w:tcW w:w="2693" w:type="dxa"/>
            <w:vAlign w:val="center"/>
            <w:hideMark/>
          </w:tcPr>
          <w:p w14:paraId="3A01D85C"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Activating PI3K/AKT signalling, blocks GSK3β activity</w:t>
            </w:r>
          </w:p>
        </w:tc>
        <w:tc>
          <w:tcPr>
            <w:tcW w:w="1984" w:type="dxa"/>
            <w:vAlign w:val="center"/>
            <w:hideMark/>
          </w:tcPr>
          <w:p w14:paraId="73D620F4"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cell migration, mitophagy and mitochondrial accumulation</w:t>
            </w:r>
          </w:p>
        </w:tc>
        <w:tc>
          <w:tcPr>
            <w:tcW w:w="1276" w:type="dxa"/>
            <w:vAlign w:val="center"/>
            <w:hideMark/>
          </w:tcPr>
          <w:p w14:paraId="78BB212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vAlign w:val="center"/>
            <w:hideMark/>
          </w:tcPr>
          <w:p w14:paraId="3DF4DB5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p>
        </w:tc>
        <w:tc>
          <w:tcPr>
            <w:tcW w:w="993" w:type="dxa"/>
            <w:vAlign w:val="center"/>
            <w:hideMark/>
          </w:tcPr>
          <w:p w14:paraId="758EAB2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[39, 129]</w:t>
            </w:r>
          </w:p>
        </w:tc>
      </w:tr>
      <w:tr w:rsidR="006F2325" w:rsidRPr="006F2325" w14:paraId="16BFF31D" w14:textId="77777777" w:rsidTr="00D17E90">
        <w:trPr>
          <w:trHeight w:val="228"/>
          <w:jc w:val="center"/>
        </w:trPr>
        <w:tc>
          <w:tcPr>
            <w:tcW w:w="1560" w:type="dxa"/>
            <w:shd w:val="clear" w:color="auto" w:fill="D9D9D9" w:themeFill="background1" w:themeFillShade="D9"/>
            <w:vAlign w:val="center"/>
            <w:hideMark/>
          </w:tcPr>
          <w:p w14:paraId="545D4D5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HGF, </w:t>
            </w:r>
            <w:r w:rsidR="00F36CC7">
              <w:rPr>
                <w:rFonts w:ascii="Times New Roman" w:eastAsia="宋体" w:hAnsi="Times New Roman" w:cs="Times New Roman"/>
                <w:kern w:val="0"/>
                <w:sz w:val="12"/>
                <w:szCs w:val="12"/>
              </w:rPr>
              <w:t>K</w:t>
            </w:r>
            <w:r w:rsidRPr="006F2325">
              <w:rPr>
                <w:rFonts w:ascii="Times New Roman" w:eastAsia="宋体" w:hAnsi="Times New Roman" w:cs="Times New Roman"/>
                <w:kern w:val="0"/>
                <w:sz w:val="12"/>
                <w:szCs w:val="12"/>
              </w:rPr>
              <w:t>eratinocyte growth factor</w:t>
            </w:r>
          </w:p>
        </w:tc>
        <w:tc>
          <w:tcPr>
            <w:tcW w:w="2693" w:type="dxa"/>
            <w:shd w:val="clear" w:color="auto" w:fill="D9D9D9" w:themeFill="background1" w:themeFillShade="D9"/>
            <w:vAlign w:val="center"/>
            <w:hideMark/>
          </w:tcPr>
          <w:p w14:paraId="1A6DEC49"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Activating PI3K/AKT/p70S6K signalling pathway</w:t>
            </w:r>
          </w:p>
        </w:tc>
        <w:tc>
          <w:tcPr>
            <w:tcW w:w="1984" w:type="dxa"/>
            <w:shd w:val="clear" w:color="auto" w:fill="D9D9D9" w:themeFill="background1" w:themeFillShade="D9"/>
            <w:vAlign w:val="center"/>
            <w:hideMark/>
          </w:tcPr>
          <w:p w14:paraId="060E7DE5"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and cell proliferation</w:t>
            </w:r>
          </w:p>
        </w:tc>
        <w:tc>
          <w:tcPr>
            <w:tcW w:w="1276" w:type="dxa"/>
            <w:shd w:val="clear" w:color="auto" w:fill="D9D9D9" w:themeFill="background1" w:themeFillShade="D9"/>
            <w:vAlign w:val="center"/>
            <w:hideMark/>
          </w:tcPr>
          <w:p w14:paraId="750077B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IL-1, IL-6, TNFα, glucose</w:t>
            </w:r>
          </w:p>
        </w:tc>
        <w:tc>
          <w:tcPr>
            <w:tcW w:w="1424" w:type="dxa"/>
            <w:shd w:val="clear" w:color="auto" w:fill="D9D9D9" w:themeFill="background1" w:themeFillShade="D9"/>
            <w:vAlign w:val="center"/>
            <w:hideMark/>
          </w:tcPr>
          <w:p w14:paraId="2DFD397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p>
        </w:tc>
        <w:tc>
          <w:tcPr>
            <w:tcW w:w="993" w:type="dxa"/>
            <w:shd w:val="clear" w:color="auto" w:fill="D9D9D9" w:themeFill="background1" w:themeFillShade="D9"/>
            <w:vAlign w:val="center"/>
            <w:hideMark/>
          </w:tcPr>
          <w:p w14:paraId="6692547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[40]</w:t>
            </w:r>
          </w:p>
        </w:tc>
      </w:tr>
      <w:tr w:rsidR="006F2325" w:rsidRPr="006F2325" w14:paraId="21522DCC" w14:textId="77777777" w:rsidTr="00D17E90">
        <w:trPr>
          <w:trHeight w:val="55"/>
          <w:jc w:val="center"/>
        </w:trPr>
        <w:tc>
          <w:tcPr>
            <w:tcW w:w="1560" w:type="dxa"/>
            <w:vAlign w:val="center"/>
            <w:hideMark/>
          </w:tcPr>
          <w:p w14:paraId="5CDE5FB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N</w:t>
            </w:r>
            <w:r w:rsidRPr="006F2325">
              <w:rPr>
                <w:rFonts w:ascii="Times New Roman" w:eastAsia="宋体" w:hAnsi="Times New Roman" w:cs="Times New Roman"/>
                <w:kern w:val="0"/>
                <w:sz w:val="12"/>
                <w:szCs w:val="12"/>
              </w:rPr>
              <w:t>erve growth factor</w:t>
            </w:r>
          </w:p>
        </w:tc>
        <w:tc>
          <w:tcPr>
            <w:tcW w:w="2693" w:type="dxa"/>
            <w:vAlign w:val="center"/>
            <w:hideMark/>
          </w:tcPr>
          <w:p w14:paraId="5A0C15C6"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Activating PI3K/AKT signalling pathway, reduce the expression of Caspase-3,9, Bad, Bax and Bim</w:t>
            </w:r>
          </w:p>
        </w:tc>
        <w:tc>
          <w:tcPr>
            <w:tcW w:w="1984" w:type="dxa"/>
            <w:vAlign w:val="center"/>
            <w:hideMark/>
          </w:tcPr>
          <w:p w14:paraId="1CAC42A5"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Cell growth and G1-S transition</w:t>
            </w:r>
          </w:p>
        </w:tc>
        <w:tc>
          <w:tcPr>
            <w:tcW w:w="1276" w:type="dxa"/>
            <w:vAlign w:val="center"/>
            <w:hideMark/>
          </w:tcPr>
          <w:p w14:paraId="17857522" w14:textId="77777777" w:rsidR="006F2325" w:rsidRPr="006F2325" w:rsidRDefault="00A44A79" w:rsidP="006F2325">
            <w:pPr>
              <w:widowControl/>
              <w:spacing w:line="0" w:lineRule="atLeast"/>
              <w:jc w:val="center"/>
              <w:rPr>
                <w:rFonts w:ascii="Times New Roman" w:eastAsia="宋体" w:hAnsi="Times New Roman" w:cs="Times New Roman"/>
                <w:kern w:val="0"/>
                <w:sz w:val="12"/>
                <w:szCs w:val="12"/>
              </w:rPr>
            </w:pPr>
            <w:r>
              <w:rPr>
                <w:rFonts w:ascii="Times New Roman" w:eastAsia="宋体" w:hAnsi="Times New Roman" w:cs="Times New Roman"/>
                <w:kern w:val="0"/>
                <w:sz w:val="12"/>
                <w:szCs w:val="12"/>
              </w:rPr>
              <w:t>/</w:t>
            </w:r>
          </w:p>
        </w:tc>
        <w:tc>
          <w:tcPr>
            <w:tcW w:w="1424" w:type="dxa"/>
            <w:vAlign w:val="center"/>
            <w:hideMark/>
          </w:tcPr>
          <w:p w14:paraId="75EB4DE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Endosome</w:t>
            </w:r>
            <w:r w:rsidR="00536F4D">
              <w:rPr>
                <w:rFonts w:ascii="Times New Roman" w:eastAsia="宋体" w:hAnsi="Times New Roman" w:cs="Times New Roman"/>
                <w:kern w:val="0"/>
                <w:sz w:val="12"/>
                <w:szCs w:val="12"/>
              </w:rPr>
              <w:t xml:space="preserve"> and</w:t>
            </w:r>
            <w:r w:rsidRPr="006F2325">
              <w:rPr>
                <w:rFonts w:ascii="Times New Roman" w:eastAsia="宋体" w:hAnsi="Times New Roman" w:cs="Times New Roman"/>
                <w:kern w:val="0"/>
                <w:sz w:val="12"/>
                <w:szCs w:val="12"/>
              </w:rPr>
              <w:t xml:space="preserve"> </w:t>
            </w:r>
            <w:r w:rsidR="00D17E90">
              <w:rPr>
                <w:rFonts w:ascii="Times New Roman" w:eastAsia="宋体" w:hAnsi="Times New Roman" w:cs="Times New Roman"/>
                <w:kern w:val="0"/>
                <w:sz w:val="12"/>
                <w:szCs w:val="12"/>
              </w:rPr>
              <w:t>e</w:t>
            </w:r>
            <w:r w:rsidRPr="006F2325">
              <w:rPr>
                <w:rFonts w:ascii="Times New Roman" w:eastAsia="宋体" w:hAnsi="Times New Roman" w:cs="Times New Roman"/>
                <w:kern w:val="0"/>
                <w:sz w:val="12"/>
                <w:szCs w:val="12"/>
              </w:rPr>
              <w:t>xtracellular region</w:t>
            </w:r>
          </w:p>
        </w:tc>
        <w:tc>
          <w:tcPr>
            <w:tcW w:w="993" w:type="dxa"/>
            <w:vAlign w:val="center"/>
            <w:hideMark/>
          </w:tcPr>
          <w:p w14:paraId="5F1770E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[41]</w:t>
            </w:r>
          </w:p>
        </w:tc>
      </w:tr>
      <w:tr w:rsidR="006F2325" w:rsidRPr="006F2325" w14:paraId="0DC7A698" w14:textId="77777777" w:rsidTr="00D17E90">
        <w:trPr>
          <w:trHeight w:val="55"/>
          <w:jc w:val="center"/>
        </w:trPr>
        <w:tc>
          <w:tcPr>
            <w:tcW w:w="1560" w:type="dxa"/>
            <w:shd w:val="clear" w:color="auto" w:fill="D9D9D9" w:themeFill="background1" w:themeFillShade="D9"/>
            <w:vAlign w:val="center"/>
            <w:hideMark/>
          </w:tcPr>
          <w:p w14:paraId="68B3BE9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Vascular endothelial growth factor-B, Vascular endothelial growth factor receptor-1</w:t>
            </w:r>
          </w:p>
        </w:tc>
        <w:tc>
          <w:tcPr>
            <w:tcW w:w="2693" w:type="dxa"/>
            <w:shd w:val="clear" w:color="auto" w:fill="D9D9D9" w:themeFill="background1" w:themeFillShade="D9"/>
            <w:vAlign w:val="center"/>
            <w:hideMark/>
          </w:tcPr>
          <w:p w14:paraId="52A31AF1"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Promote the expression of</w:t>
            </w:r>
            <w:r w:rsidRPr="006F2325">
              <w:rPr>
                <w:rFonts w:ascii="Times New Roman" w:hAnsi="Times New Roman" w:cs="Times New Roman"/>
              </w:rPr>
              <w:t xml:space="preserve"> </w:t>
            </w:r>
            <w:r w:rsidRPr="006F2325">
              <w:rPr>
                <w:rFonts w:ascii="Times New Roman" w:eastAsia="宋体" w:hAnsi="Times New Roman" w:cs="Times New Roman"/>
                <w:kern w:val="0"/>
                <w:sz w:val="12"/>
                <w:szCs w:val="12"/>
              </w:rPr>
              <w:t>pigment epithelium-derived factor via PI3K/AKT/GSK3β/mTOR signalling</w:t>
            </w:r>
          </w:p>
        </w:tc>
        <w:tc>
          <w:tcPr>
            <w:tcW w:w="1984" w:type="dxa"/>
            <w:shd w:val="clear" w:color="auto" w:fill="D9D9D9" w:themeFill="background1" w:themeFillShade="D9"/>
            <w:vAlign w:val="center"/>
            <w:hideMark/>
          </w:tcPr>
          <w:p w14:paraId="564D6DF6"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and regeneration of nerve fiber</w:t>
            </w:r>
          </w:p>
        </w:tc>
        <w:tc>
          <w:tcPr>
            <w:tcW w:w="1276" w:type="dxa"/>
            <w:shd w:val="clear" w:color="auto" w:fill="D9D9D9" w:themeFill="background1" w:themeFillShade="D9"/>
            <w:vAlign w:val="center"/>
            <w:hideMark/>
          </w:tcPr>
          <w:p w14:paraId="73804B1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Vascular endothelial growth factor trap</w:t>
            </w:r>
          </w:p>
        </w:tc>
        <w:tc>
          <w:tcPr>
            <w:tcW w:w="1424" w:type="dxa"/>
            <w:shd w:val="clear" w:color="auto" w:fill="D9D9D9" w:themeFill="background1" w:themeFillShade="D9"/>
            <w:vAlign w:val="center"/>
            <w:hideMark/>
          </w:tcPr>
          <w:p w14:paraId="1BCE5BB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p>
        </w:tc>
        <w:tc>
          <w:tcPr>
            <w:tcW w:w="993" w:type="dxa"/>
            <w:shd w:val="clear" w:color="auto" w:fill="D9D9D9" w:themeFill="background1" w:themeFillShade="D9"/>
            <w:vAlign w:val="center"/>
            <w:hideMark/>
          </w:tcPr>
          <w:p w14:paraId="56A18712"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[43]</w:t>
            </w:r>
          </w:p>
        </w:tc>
      </w:tr>
      <w:tr w:rsidR="006F2325" w:rsidRPr="006F2325" w14:paraId="2E817A89" w14:textId="77777777" w:rsidTr="00D17E90">
        <w:trPr>
          <w:trHeight w:val="55"/>
          <w:jc w:val="center"/>
        </w:trPr>
        <w:tc>
          <w:tcPr>
            <w:tcW w:w="1560" w:type="dxa"/>
            <w:vAlign w:val="center"/>
            <w:hideMark/>
          </w:tcPr>
          <w:p w14:paraId="3F4EBBA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NK-1, NK-1R</w:t>
            </w:r>
          </w:p>
        </w:tc>
        <w:tc>
          <w:tcPr>
            <w:tcW w:w="2693" w:type="dxa"/>
            <w:vAlign w:val="center"/>
            <w:hideMark/>
          </w:tcPr>
          <w:p w14:paraId="4A81FCD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Reactivate EGFR, AKT, and SIRT1 signalling</w:t>
            </w:r>
          </w:p>
        </w:tc>
        <w:tc>
          <w:tcPr>
            <w:tcW w:w="1984" w:type="dxa"/>
            <w:vAlign w:val="center"/>
            <w:hideMark/>
          </w:tcPr>
          <w:p w14:paraId="77CD91A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Wound healing, corneal sensation recovery and mitochondrial function recovery</w:t>
            </w:r>
          </w:p>
        </w:tc>
        <w:tc>
          <w:tcPr>
            <w:tcW w:w="1276" w:type="dxa"/>
            <w:vAlign w:val="center"/>
            <w:hideMark/>
          </w:tcPr>
          <w:p w14:paraId="2459B3C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NK-1 receptor antagonist</w:t>
            </w:r>
          </w:p>
        </w:tc>
        <w:tc>
          <w:tcPr>
            <w:tcW w:w="1424" w:type="dxa"/>
            <w:vAlign w:val="center"/>
            <w:hideMark/>
          </w:tcPr>
          <w:p w14:paraId="205363F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r w:rsidR="00D17E90">
              <w:rPr>
                <w:rFonts w:ascii="Times New Roman" w:eastAsia="宋体" w:hAnsi="Times New Roman" w:cs="Times New Roman"/>
                <w:kern w:val="0"/>
                <w:sz w:val="12"/>
                <w:szCs w:val="12"/>
              </w:rPr>
              <w:t xml:space="preserve"> and p</w:t>
            </w:r>
            <w:r w:rsidRPr="006F2325">
              <w:rPr>
                <w:rFonts w:ascii="Times New Roman" w:eastAsia="宋体" w:hAnsi="Times New Roman" w:cs="Times New Roman"/>
                <w:kern w:val="0"/>
                <w:sz w:val="12"/>
                <w:szCs w:val="12"/>
              </w:rPr>
              <w:t>lasma membrane</w:t>
            </w:r>
          </w:p>
        </w:tc>
        <w:tc>
          <w:tcPr>
            <w:tcW w:w="993" w:type="dxa"/>
            <w:vAlign w:val="center"/>
            <w:hideMark/>
          </w:tcPr>
          <w:p w14:paraId="3A2EBFD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[45]</w:t>
            </w:r>
          </w:p>
        </w:tc>
      </w:tr>
      <w:tr w:rsidR="006F2325" w:rsidRPr="006F2325" w14:paraId="4116FE3F" w14:textId="77777777" w:rsidTr="00D17E90">
        <w:trPr>
          <w:trHeight w:val="416"/>
          <w:jc w:val="center"/>
        </w:trPr>
        <w:tc>
          <w:tcPr>
            <w:tcW w:w="1560" w:type="dxa"/>
            <w:shd w:val="clear" w:color="auto" w:fill="D9D9D9" w:themeFill="background1" w:themeFillShade="D9"/>
            <w:vAlign w:val="center"/>
            <w:hideMark/>
          </w:tcPr>
          <w:p w14:paraId="3846A9C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ROS</w:t>
            </w:r>
          </w:p>
        </w:tc>
        <w:tc>
          <w:tcPr>
            <w:tcW w:w="2693" w:type="dxa"/>
            <w:shd w:val="clear" w:color="auto" w:fill="D9D9D9" w:themeFill="background1" w:themeFillShade="D9"/>
            <w:vAlign w:val="center"/>
            <w:hideMark/>
          </w:tcPr>
          <w:p w14:paraId="09ECAA4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Suppressor of EGFR-mediated PI3K/AKT signalling pathway, increase the expression of Bcl-2, Bax, cytochrome c, Caspase-3, 8, and 9</w:t>
            </w:r>
          </w:p>
        </w:tc>
        <w:tc>
          <w:tcPr>
            <w:tcW w:w="1984" w:type="dxa"/>
            <w:shd w:val="clear" w:color="auto" w:fill="D9D9D9" w:themeFill="background1" w:themeFillShade="D9"/>
            <w:vAlign w:val="center"/>
            <w:hideMark/>
          </w:tcPr>
          <w:p w14:paraId="574D8EAE"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Delay wound healing, delay regeneration and migration, apoptosis, Inflammation, keratoconus</w:t>
            </w:r>
          </w:p>
        </w:tc>
        <w:tc>
          <w:tcPr>
            <w:tcW w:w="1276" w:type="dxa"/>
            <w:shd w:val="clear" w:color="auto" w:fill="D9D9D9" w:themeFill="background1" w:themeFillShade="D9"/>
            <w:vAlign w:val="center"/>
            <w:hideMark/>
          </w:tcPr>
          <w:p w14:paraId="55679315"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N-acetylcystein</w:t>
            </w:r>
          </w:p>
        </w:tc>
        <w:tc>
          <w:tcPr>
            <w:tcW w:w="1424" w:type="dxa"/>
            <w:shd w:val="clear" w:color="auto" w:fill="D9D9D9" w:themeFill="background1" w:themeFillShade="D9"/>
            <w:vAlign w:val="center"/>
            <w:hideMark/>
          </w:tcPr>
          <w:p w14:paraId="01827FB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Cytoplasm </w:t>
            </w:r>
            <w:r w:rsidR="00536F4D">
              <w:rPr>
                <w:rFonts w:ascii="Times New Roman" w:eastAsia="宋体" w:hAnsi="Times New Roman" w:cs="Times New Roman"/>
                <w:kern w:val="0"/>
                <w:sz w:val="12"/>
                <w:szCs w:val="12"/>
              </w:rPr>
              <w:t>and m</w:t>
            </w:r>
            <w:r w:rsidRPr="006F2325">
              <w:rPr>
                <w:rFonts w:ascii="Times New Roman" w:eastAsia="宋体" w:hAnsi="Times New Roman" w:cs="Times New Roman"/>
                <w:kern w:val="0"/>
                <w:sz w:val="12"/>
                <w:szCs w:val="12"/>
              </w:rPr>
              <w:t>itochondrion</w:t>
            </w:r>
          </w:p>
        </w:tc>
        <w:tc>
          <w:tcPr>
            <w:tcW w:w="993" w:type="dxa"/>
            <w:shd w:val="clear" w:color="auto" w:fill="D9D9D9" w:themeFill="background1" w:themeFillShade="D9"/>
            <w:vAlign w:val="center"/>
            <w:hideMark/>
          </w:tcPr>
          <w:p w14:paraId="066A8FB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[53-55, 61]</w:t>
            </w:r>
          </w:p>
        </w:tc>
      </w:tr>
      <w:tr w:rsidR="006F2325" w:rsidRPr="006F2325" w14:paraId="5101AA17" w14:textId="77777777" w:rsidTr="00D17E90">
        <w:trPr>
          <w:trHeight w:val="55"/>
          <w:jc w:val="center"/>
        </w:trPr>
        <w:tc>
          <w:tcPr>
            <w:tcW w:w="1560" w:type="dxa"/>
            <w:vAlign w:val="center"/>
            <w:hideMark/>
          </w:tcPr>
          <w:p w14:paraId="2A249BC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MAPK3/1</w:t>
            </w:r>
          </w:p>
        </w:tc>
        <w:tc>
          <w:tcPr>
            <w:tcW w:w="2693" w:type="dxa"/>
            <w:vAlign w:val="center"/>
            <w:hideMark/>
          </w:tcPr>
          <w:p w14:paraId="5978D032"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MAPK3/1 signalling pathway synergistics with PI3K/AKT signalling pathway</w:t>
            </w:r>
          </w:p>
        </w:tc>
        <w:tc>
          <w:tcPr>
            <w:tcW w:w="1984" w:type="dxa"/>
            <w:vAlign w:val="center"/>
            <w:hideMark/>
          </w:tcPr>
          <w:p w14:paraId="0AD80321"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Anti-apoptosis, wound healing, cell survival</w:t>
            </w:r>
          </w:p>
        </w:tc>
        <w:tc>
          <w:tcPr>
            <w:tcW w:w="1276" w:type="dxa"/>
            <w:vAlign w:val="center"/>
            <w:hideMark/>
          </w:tcPr>
          <w:p w14:paraId="1BFCD13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Dual specificity mitogen-activated protein kinase kinase mek</w:t>
            </w:r>
          </w:p>
        </w:tc>
        <w:tc>
          <w:tcPr>
            <w:tcW w:w="1424" w:type="dxa"/>
            <w:vAlign w:val="center"/>
            <w:hideMark/>
          </w:tcPr>
          <w:p w14:paraId="4CF32F14" w14:textId="7AFD2E7D"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Cytoplasm</w:t>
            </w:r>
            <w:r w:rsidR="00536F4D">
              <w:rPr>
                <w:rFonts w:ascii="Times New Roman" w:eastAsia="宋体" w:hAnsi="Times New Roman" w:cs="Times New Roman"/>
                <w:kern w:val="0"/>
                <w:sz w:val="12"/>
                <w:szCs w:val="12"/>
              </w:rPr>
              <w:t xml:space="preserve"> and</w:t>
            </w:r>
            <w:r w:rsidRPr="006F2325">
              <w:rPr>
                <w:rFonts w:ascii="Times New Roman" w:eastAsia="宋体" w:hAnsi="Times New Roman" w:cs="Times New Roman"/>
                <w:kern w:val="0"/>
                <w:sz w:val="12"/>
                <w:szCs w:val="12"/>
              </w:rPr>
              <w:t xml:space="preserve"> </w:t>
            </w:r>
            <w:r w:rsidR="0080446F">
              <w:rPr>
                <w:rFonts w:ascii="Times New Roman" w:eastAsia="宋体" w:hAnsi="Times New Roman" w:cs="Times New Roman" w:hint="eastAsia"/>
                <w:kern w:val="0"/>
                <w:sz w:val="12"/>
                <w:szCs w:val="12"/>
              </w:rPr>
              <w:t>c</w:t>
            </w:r>
            <w:r w:rsidRPr="006F2325">
              <w:rPr>
                <w:rFonts w:ascii="Times New Roman" w:eastAsia="宋体" w:hAnsi="Times New Roman" w:cs="Times New Roman"/>
                <w:kern w:val="0"/>
                <w:sz w:val="12"/>
                <w:szCs w:val="12"/>
              </w:rPr>
              <w:t>ytoskeleton</w:t>
            </w:r>
          </w:p>
        </w:tc>
        <w:tc>
          <w:tcPr>
            <w:tcW w:w="993" w:type="dxa"/>
            <w:vAlign w:val="center"/>
            <w:hideMark/>
          </w:tcPr>
          <w:p w14:paraId="2861F506"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[130]</w:t>
            </w:r>
          </w:p>
        </w:tc>
      </w:tr>
      <w:tr w:rsidR="006F2325" w:rsidRPr="006F2325" w14:paraId="15D122A5" w14:textId="77777777" w:rsidTr="00D17E90">
        <w:trPr>
          <w:trHeight w:val="55"/>
          <w:jc w:val="center"/>
        </w:trPr>
        <w:tc>
          <w:tcPr>
            <w:tcW w:w="1560" w:type="dxa"/>
            <w:shd w:val="clear" w:color="auto" w:fill="D9D9D9" w:themeFill="background1" w:themeFillShade="D9"/>
            <w:vAlign w:val="center"/>
            <w:hideMark/>
          </w:tcPr>
          <w:p w14:paraId="47E7161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NAD</w:t>
            </w:r>
            <w:r w:rsidRPr="00F36CC7">
              <w:rPr>
                <w:rFonts w:ascii="Times New Roman" w:eastAsia="宋体" w:hAnsi="Times New Roman" w:cs="Times New Roman"/>
                <w:kern w:val="0"/>
                <w:sz w:val="15"/>
                <w:szCs w:val="12"/>
                <w:vertAlign w:val="superscript"/>
              </w:rPr>
              <w:t>+</w:t>
            </w:r>
          </w:p>
        </w:tc>
        <w:tc>
          <w:tcPr>
            <w:tcW w:w="2693" w:type="dxa"/>
            <w:shd w:val="clear" w:color="auto" w:fill="D9D9D9" w:themeFill="background1" w:themeFillShade="D9"/>
            <w:vAlign w:val="center"/>
            <w:hideMark/>
          </w:tcPr>
          <w:p w14:paraId="0746384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Increasing ROS, inhibit </w:t>
            </w:r>
          </w:p>
          <w:p w14:paraId="2BE90AA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SIRT1/EGFR/PI3K/AKT signalling pathway </w:t>
            </w:r>
          </w:p>
        </w:tc>
        <w:tc>
          <w:tcPr>
            <w:tcW w:w="1984" w:type="dxa"/>
            <w:shd w:val="clear" w:color="auto" w:fill="D9D9D9" w:themeFill="background1" w:themeFillShade="D9"/>
            <w:vAlign w:val="center"/>
            <w:hideMark/>
          </w:tcPr>
          <w:p w14:paraId="264A77DE"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Mitochondria-induced apoptosis, </w:t>
            </w:r>
          </w:p>
          <w:p w14:paraId="11E55944"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delay wound healing in diabetes</w:t>
            </w:r>
          </w:p>
        </w:tc>
        <w:tc>
          <w:tcPr>
            <w:tcW w:w="1276" w:type="dxa"/>
            <w:shd w:val="clear" w:color="auto" w:fill="D9D9D9" w:themeFill="background1" w:themeFillShade="D9"/>
            <w:vAlign w:val="center"/>
            <w:hideMark/>
          </w:tcPr>
          <w:p w14:paraId="269E427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shd w:val="clear" w:color="auto" w:fill="D9D9D9" w:themeFill="background1" w:themeFillShade="D9"/>
            <w:vAlign w:val="center"/>
            <w:hideMark/>
          </w:tcPr>
          <w:p w14:paraId="2068DB5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Cytoplasm</w:t>
            </w:r>
            <w:r w:rsidR="00D17E90">
              <w:rPr>
                <w:rFonts w:ascii="Times New Roman" w:eastAsia="宋体" w:hAnsi="Times New Roman" w:cs="Times New Roman"/>
                <w:kern w:val="0"/>
                <w:sz w:val="12"/>
                <w:szCs w:val="12"/>
              </w:rPr>
              <w:t xml:space="preserve"> and m</w:t>
            </w:r>
            <w:r w:rsidRPr="006F2325">
              <w:rPr>
                <w:rFonts w:ascii="Times New Roman" w:eastAsia="宋体" w:hAnsi="Times New Roman" w:cs="Times New Roman"/>
                <w:kern w:val="0"/>
                <w:sz w:val="12"/>
                <w:szCs w:val="12"/>
              </w:rPr>
              <w:t>itochondrion</w:t>
            </w:r>
          </w:p>
        </w:tc>
        <w:tc>
          <w:tcPr>
            <w:tcW w:w="993" w:type="dxa"/>
            <w:shd w:val="clear" w:color="auto" w:fill="D9D9D9" w:themeFill="background1" w:themeFillShade="D9"/>
            <w:vAlign w:val="center"/>
            <w:hideMark/>
          </w:tcPr>
          <w:p w14:paraId="71B3B26E" w14:textId="77777777" w:rsidR="006F2325" w:rsidRPr="006F2325" w:rsidRDefault="006F2325" w:rsidP="006F2325">
            <w:pPr>
              <w:widowControl/>
              <w:spacing w:line="0" w:lineRule="atLeas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     </w:t>
            </w:r>
            <w:r w:rsidRPr="006F2325">
              <w:rPr>
                <w:rFonts w:ascii="Times New Roman" w:eastAsia="宋体" w:hAnsi="Times New Roman" w:cs="Times New Roman"/>
                <w:noProof/>
                <w:kern w:val="0"/>
                <w:sz w:val="12"/>
                <w:szCs w:val="12"/>
              </w:rPr>
              <w:t>[77]</w:t>
            </w:r>
          </w:p>
        </w:tc>
      </w:tr>
      <w:tr w:rsidR="006F2325" w:rsidRPr="006F2325" w14:paraId="5AE1771D" w14:textId="77777777" w:rsidTr="00D17E90">
        <w:trPr>
          <w:trHeight w:val="55"/>
          <w:jc w:val="center"/>
        </w:trPr>
        <w:tc>
          <w:tcPr>
            <w:tcW w:w="1560" w:type="dxa"/>
            <w:vAlign w:val="center"/>
            <w:hideMark/>
          </w:tcPr>
          <w:p w14:paraId="132AD10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Nicotinamide phosphoribosyltransferase</w:t>
            </w:r>
          </w:p>
        </w:tc>
        <w:tc>
          <w:tcPr>
            <w:tcW w:w="2693" w:type="dxa"/>
            <w:vAlign w:val="center"/>
            <w:hideMark/>
          </w:tcPr>
          <w:p w14:paraId="6CA114F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Increasing ROS, inhibit </w:t>
            </w:r>
          </w:p>
          <w:p w14:paraId="7AAF10E3"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SIRT1/EGFR/PI3K/AKT signalling pathway</w:t>
            </w:r>
          </w:p>
        </w:tc>
        <w:tc>
          <w:tcPr>
            <w:tcW w:w="1984" w:type="dxa"/>
            <w:vAlign w:val="center"/>
            <w:hideMark/>
          </w:tcPr>
          <w:p w14:paraId="2927D2B9"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Mitochondria-induced apoptosis, </w:t>
            </w:r>
          </w:p>
          <w:p w14:paraId="77CBB93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delay wound healing in diabetes</w:t>
            </w:r>
          </w:p>
        </w:tc>
        <w:tc>
          <w:tcPr>
            <w:tcW w:w="1276" w:type="dxa"/>
            <w:vAlign w:val="center"/>
            <w:hideMark/>
          </w:tcPr>
          <w:p w14:paraId="5D8DE4D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vAlign w:val="center"/>
            <w:hideMark/>
          </w:tcPr>
          <w:p w14:paraId="27913F8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Cytoplasm, nucleus, extracellular region</w:t>
            </w:r>
          </w:p>
        </w:tc>
        <w:tc>
          <w:tcPr>
            <w:tcW w:w="993" w:type="dxa"/>
            <w:vAlign w:val="center"/>
            <w:hideMark/>
          </w:tcPr>
          <w:p w14:paraId="0A402BEA"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[77]</w:t>
            </w:r>
          </w:p>
        </w:tc>
      </w:tr>
      <w:tr w:rsidR="006F2325" w:rsidRPr="006F2325" w14:paraId="4AEA2470" w14:textId="77777777" w:rsidTr="00D17E90">
        <w:trPr>
          <w:trHeight w:val="55"/>
          <w:jc w:val="center"/>
        </w:trPr>
        <w:tc>
          <w:tcPr>
            <w:tcW w:w="1560" w:type="dxa"/>
            <w:shd w:val="clear" w:color="auto" w:fill="D9D9D9" w:themeFill="background1" w:themeFillShade="D9"/>
            <w:vAlign w:val="center"/>
            <w:hideMark/>
          </w:tcPr>
          <w:p w14:paraId="16A37BD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Mesencephalic astrocyte-derived neurotrophic factor</w:t>
            </w:r>
          </w:p>
        </w:tc>
        <w:tc>
          <w:tcPr>
            <w:tcW w:w="2693" w:type="dxa"/>
            <w:shd w:val="clear" w:color="auto" w:fill="D9D9D9" w:themeFill="background1" w:themeFillShade="D9"/>
            <w:vAlign w:val="center"/>
            <w:hideMark/>
          </w:tcPr>
          <w:p w14:paraId="18D29497"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Activate AKT signalling</w:t>
            </w:r>
          </w:p>
        </w:tc>
        <w:tc>
          <w:tcPr>
            <w:tcW w:w="1984" w:type="dxa"/>
            <w:shd w:val="clear" w:color="auto" w:fill="D9D9D9" w:themeFill="background1" w:themeFillShade="D9"/>
            <w:vAlign w:val="center"/>
            <w:hideMark/>
          </w:tcPr>
          <w:p w14:paraId="619B2225" w14:textId="16F2811A"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Inhibits </w:t>
            </w:r>
            <w:r w:rsidRPr="002C20A4">
              <w:rPr>
                <w:rFonts w:ascii="Times New Roman" w:eastAsia="宋体" w:hAnsi="Times New Roman" w:cs="Times New Roman"/>
                <w:kern w:val="0"/>
                <w:sz w:val="12"/>
                <w:szCs w:val="12"/>
                <w:highlight w:val="yellow"/>
              </w:rPr>
              <w:t>hyperglyc</w:t>
            </w:r>
            <w:r w:rsidR="002C20A4">
              <w:rPr>
                <w:rFonts w:ascii="Times New Roman" w:eastAsia="宋体" w:hAnsi="Times New Roman" w:cs="Times New Roman" w:hint="eastAsia"/>
                <w:kern w:val="0"/>
                <w:sz w:val="12"/>
                <w:szCs w:val="12"/>
                <w:highlight w:val="yellow"/>
              </w:rPr>
              <w:t>a</w:t>
            </w:r>
            <w:r w:rsidRPr="002C20A4">
              <w:rPr>
                <w:rFonts w:ascii="Times New Roman" w:eastAsia="宋体" w:hAnsi="Times New Roman" w:cs="Times New Roman"/>
                <w:kern w:val="0"/>
                <w:sz w:val="12"/>
                <w:szCs w:val="12"/>
                <w:highlight w:val="yellow"/>
              </w:rPr>
              <w:t>emia</w:t>
            </w:r>
            <w:r w:rsidRPr="006F2325">
              <w:rPr>
                <w:rFonts w:ascii="Times New Roman" w:eastAsia="宋体" w:hAnsi="Times New Roman" w:cs="Times New Roman"/>
                <w:kern w:val="0"/>
                <w:sz w:val="12"/>
                <w:szCs w:val="12"/>
              </w:rPr>
              <w:t xml:space="preserve">-induced ER stress and ER stress-mediated </w:t>
            </w:r>
          </w:p>
          <w:p w14:paraId="1779D59D"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apoptosis, wound healing, nerve regeneration in diabetes</w:t>
            </w:r>
          </w:p>
        </w:tc>
        <w:tc>
          <w:tcPr>
            <w:tcW w:w="1276" w:type="dxa"/>
            <w:shd w:val="clear" w:color="auto" w:fill="D9D9D9" w:themeFill="background1" w:themeFillShade="D9"/>
            <w:vAlign w:val="center"/>
            <w:hideMark/>
          </w:tcPr>
          <w:p w14:paraId="3804984A"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shd w:val="clear" w:color="auto" w:fill="D9D9D9" w:themeFill="background1" w:themeFillShade="D9"/>
            <w:vAlign w:val="center"/>
            <w:hideMark/>
          </w:tcPr>
          <w:p w14:paraId="235327D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Endoplasmic reticulum</w:t>
            </w:r>
            <w:r w:rsidR="00536F4D">
              <w:rPr>
                <w:rFonts w:ascii="Times New Roman" w:eastAsia="宋体" w:hAnsi="Times New Roman" w:cs="Times New Roman"/>
                <w:kern w:val="0"/>
                <w:sz w:val="12"/>
                <w:szCs w:val="12"/>
              </w:rPr>
              <w:t xml:space="preserve"> and </w:t>
            </w:r>
            <w:r w:rsidRPr="006F2325">
              <w:rPr>
                <w:rFonts w:ascii="Times New Roman" w:eastAsia="宋体" w:hAnsi="Times New Roman" w:cs="Times New Roman"/>
                <w:kern w:val="0"/>
                <w:sz w:val="12"/>
                <w:szCs w:val="12"/>
              </w:rPr>
              <w:t>extracellular region</w:t>
            </w:r>
          </w:p>
        </w:tc>
        <w:tc>
          <w:tcPr>
            <w:tcW w:w="993" w:type="dxa"/>
            <w:shd w:val="clear" w:color="auto" w:fill="D9D9D9" w:themeFill="background1" w:themeFillShade="D9"/>
            <w:vAlign w:val="center"/>
            <w:hideMark/>
          </w:tcPr>
          <w:p w14:paraId="482B946E"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[85]</w:t>
            </w:r>
          </w:p>
        </w:tc>
      </w:tr>
      <w:tr w:rsidR="006F2325" w:rsidRPr="006F2325" w14:paraId="1B4C794E" w14:textId="77777777" w:rsidTr="00D17E90">
        <w:trPr>
          <w:trHeight w:val="55"/>
          <w:jc w:val="center"/>
        </w:trPr>
        <w:tc>
          <w:tcPr>
            <w:tcW w:w="1560" w:type="dxa"/>
            <w:vAlign w:val="center"/>
            <w:hideMark/>
          </w:tcPr>
          <w:p w14:paraId="1384CCC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MMP-10,</w:t>
            </w:r>
            <w:r w:rsidRPr="006F2325">
              <w:rPr>
                <w:rFonts w:ascii="Times New Roman" w:hAnsi="Times New Roman" w:cs="Times New Roman"/>
                <w:sz w:val="12"/>
                <w:szCs w:val="12"/>
              </w:rPr>
              <w:t xml:space="preserve"> </w:t>
            </w:r>
            <w:r w:rsidR="00F36CC7">
              <w:rPr>
                <w:rFonts w:ascii="Times New Roman" w:eastAsia="宋体" w:hAnsi="Times New Roman" w:cs="Times New Roman"/>
                <w:kern w:val="0"/>
                <w:sz w:val="12"/>
                <w:szCs w:val="12"/>
              </w:rPr>
              <w:t>C</w:t>
            </w:r>
            <w:r w:rsidRPr="006F2325">
              <w:rPr>
                <w:rFonts w:ascii="Times New Roman" w:eastAsia="宋体" w:hAnsi="Times New Roman" w:cs="Times New Roman"/>
                <w:kern w:val="0"/>
                <w:sz w:val="12"/>
                <w:szCs w:val="12"/>
              </w:rPr>
              <w:t xml:space="preserve">athepsin F </w:t>
            </w:r>
          </w:p>
        </w:tc>
        <w:tc>
          <w:tcPr>
            <w:tcW w:w="2693" w:type="dxa"/>
            <w:vAlign w:val="center"/>
            <w:hideMark/>
          </w:tcPr>
          <w:p w14:paraId="68B0E44E"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Downstream of EGFR/PI3K/AKT signalling pathway</w:t>
            </w:r>
          </w:p>
        </w:tc>
        <w:tc>
          <w:tcPr>
            <w:tcW w:w="1984" w:type="dxa"/>
            <w:vAlign w:val="center"/>
            <w:hideMark/>
          </w:tcPr>
          <w:p w14:paraId="65336165"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Delay wound healing in diabetes</w:t>
            </w:r>
          </w:p>
        </w:tc>
        <w:tc>
          <w:tcPr>
            <w:tcW w:w="1276" w:type="dxa"/>
            <w:vAlign w:val="center"/>
            <w:hideMark/>
          </w:tcPr>
          <w:p w14:paraId="7F2C5074"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vAlign w:val="center"/>
            <w:hideMark/>
          </w:tcPr>
          <w:p w14:paraId="6217808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r w:rsidR="00536F4D">
              <w:rPr>
                <w:rFonts w:ascii="Times New Roman" w:eastAsia="宋体" w:hAnsi="Times New Roman" w:cs="Times New Roman"/>
                <w:kern w:val="0"/>
                <w:sz w:val="12"/>
                <w:szCs w:val="12"/>
              </w:rPr>
              <w:t xml:space="preserve"> and</w:t>
            </w:r>
            <w:r w:rsidRPr="006F2325">
              <w:rPr>
                <w:rFonts w:ascii="Times New Roman" w:eastAsia="宋体" w:hAnsi="Times New Roman" w:cs="Times New Roman"/>
                <w:kern w:val="0"/>
                <w:sz w:val="12"/>
                <w:szCs w:val="12"/>
              </w:rPr>
              <w:t xml:space="preserve"> lysosome</w:t>
            </w:r>
          </w:p>
        </w:tc>
        <w:tc>
          <w:tcPr>
            <w:tcW w:w="993" w:type="dxa"/>
            <w:vAlign w:val="center"/>
            <w:hideMark/>
          </w:tcPr>
          <w:p w14:paraId="3AA9B333"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[89]</w:t>
            </w:r>
          </w:p>
        </w:tc>
      </w:tr>
      <w:tr w:rsidR="006F2325" w:rsidRPr="006F2325" w14:paraId="3C835F7F" w14:textId="77777777" w:rsidTr="00D17E90">
        <w:trPr>
          <w:trHeight w:val="55"/>
          <w:jc w:val="center"/>
        </w:trPr>
        <w:tc>
          <w:tcPr>
            <w:tcW w:w="1560" w:type="dxa"/>
            <w:shd w:val="clear" w:color="auto" w:fill="D9D9D9" w:themeFill="background1" w:themeFillShade="D9"/>
            <w:vAlign w:val="center"/>
            <w:hideMark/>
          </w:tcPr>
          <w:p w14:paraId="5FD66DA4" w14:textId="77777777" w:rsidR="006F2325" w:rsidRPr="006F2325" w:rsidRDefault="006F2325" w:rsidP="006F2325">
            <w:pPr>
              <w:widowControl/>
              <w:spacing w:line="0" w:lineRule="atLeast"/>
              <w:ind w:firstLineChars="200" w:firstLine="240"/>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 </w:t>
            </w:r>
            <w:r w:rsidRPr="0080446F">
              <w:rPr>
                <w:rFonts w:ascii="Times New Roman" w:eastAsia="宋体" w:hAnsi="Times New Roman" w:cs="Times New Roman"/>
                <w:kern w:val="0"/>
                <w:sz w:val="12"/>
                <w:szCs w:val="12"/>
                <w:highlight w:val="yellow"/>
              </w:rPr>
              <w:t>Ephrin-A1,</w:t>
            </w:r>
            <w:r w:rsidR="00A44A79" w:rsidRPr="0080446F">
              <w:rPr>
                <w:rFonts w:ascii="Times New Roman" w:eastAsia="宋体" w:hAnsi="Times New Roman" w:cs="Times New Roman"/>
                <w:kern w:val="0"/>
                <w:sz w:val="12"/>
                <w:szCs w:val="12"/>
                <w:highlight w:val="yellow"/>
              </w:rPr>
              <w:t xml:space="preserve"> </w:t>
            </w:r>
            <w:r w:rsidRPr="0080446F">
              <w:rPr>
                <w:rFonts w:ascii="Times New Roman" w:eastAsia="宋体" w:hAnsi="Times New Roman" w:cs="Times New Roman"/>
                <w:kern w:val="0"/>
                <w:sz w:val="12"/>
                <w:szCs w:val="12"/>
                <w:highlight w:val="yellow"/>
              </w:rPr>
              <w:t>A2</w:t>
            </w:r>
          </w:p>
        </w:tc>
        <w:tc>
          <w:tcPr>
            <w:tcW w:w="2693" w:type="dxa"/>
            <w:shd w:val="clear" w:color="auto" w:fill="D9D9D9" w:themeFill="background1" w:themeFillShade="D9"/>
            <w:vAlign w:val="center"/>
            <w:hideMark/>
          </w:tcPr>
          <w:p w14:paraId="40391148"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Suppressing AKT signalling</w:t>
            </w:r>
          </w:p>
        </w:tc>
        <w:tc>
          <w:tcPr>
            <w:tcW w:w="1984" w:type="dxa"/>
            <w:shd w:val="clear" w:color="auto" w:fill="D9D9D9" w:themeFill="background1" w:themeFillShade="D9"/>
            <w:vAlign w:val="center"/>
            <w:hideMark/>
          </w:tcPr>
          <w:p w14:paraId="6858D5CA"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Attenuates cell migration, delay wound healing in diabetes</w:t>
            </w:r>
          </w:p>
        </w:tc>
        <w:tc>
          <w:tcPr>
            <w:tcW w:w="1276" w:type="dxa"/>
            <w:shd w:val="clear" w:color="auto" w:fill="D9D9D9" w:themeFill="background1" w:themeFillShade="D9"/>
            <w:vAlign w:val="center"/>
            <w:hideMark/>
          </w:tcPr>
          <w:p w14:paraId="330E900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Glucose</w:t>
            </w:r>
          </w:p>
        </w:tc>
        <w:tc>
          <w:tcPr>
            <w:tcW w:w="1424" w:type="dxa"/>
            <w:shd w:val="clear" w:color="auto" w:fill="D9D9D9" w:themeFill="background1" w:themeFillShade="D9"/>
            <w:vAlign w:val="center"/>
            <w:hideMark/>
          </w:tcPr>
          <w:p w14:paraId="50B86117"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w:t>
            </w:r>
            <w:r w:rsidR="00536F4D">
              <w:rPr>
                <w:rFonts w:ascii="Times New Roman" w:eastAsia="宋体" w:hAnsi="Times New Roman" w:cs="Times New Roman"/>
                <w:kern w:val="0"/>
                <w:sz w:val="12"/>
                <w:szCs w:val="12"/>
              </w:rPr>
              <w:t xml:space="preserve"> and</w:t>
            </w:r>
            <w:r w:rsidRPr="006F2325">
              <w:rPr>
                <w:rFonts w:ascii="Times New Roman" w:eastAsia="宋体" w:hAnsi="Times New Roman" w:cs="Times New Roman"/>
                <w:kern w:val="0"/>
                <w:sz w:val="12"/>
                <w:szCs w:val="12"/>
              </w:rPr>
              <w:t xml:space="preserve"> extracellular region</w:t>
            </w:r>
          </w:p>
        </w:tc>
        <w:tc>
          <w:tcPr>
            <w:tcW w:w="993" w:type="dxa"/>
            <w:shd w:val="clear" w:color="auto" w:fill="D9D9D9" w:themeFill="background1" w:themeFillShade="D9"/>
            <w:vAlign w:val="center"/>
            <w:hideMark/>
          </w:tcPr>
          <w:p w14:paraId="4C71958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[131]</w:t>
            </w:r>
          </w:p>
        </w:tc>
      </w:tr>
      <w:tr w:rsidR="006F2325" w:rsidRPr="006F2325" w14:paraId="2FBCC367" w14:textId="77777777" w:rsidTr="00D17E90">
        <w:trPr>
          <w:trHeight w:val="55"/>
          <w:jc w:val="center"/>
        </w:trPr>
        <w:tc>
          <w:tcPr>
            <w:tcW w:w="1560" w:type="dxa"/>
            <w:vAlign w:val="center"/>
            <w:hideMark/>
          </w:tcPr>
          <w:p w14:paraId="16F36F18"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HMGB1</w:t>
            </w:r>
          </w:p>
        </w:tc>
        <w:tc>
          <w:tcPr>
            <w:tcW w:w="2693" w:type="dxa"/>
            <w:vAlign w:val="center"/>
            <w:hideMark/>
          </w:tcPr>
          <w:p w14:paraId="13F9AB09"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 xml:space="preserve">Related to PI3K/AKT signalling </w:t>
            </w:r>
          </w:p>
        </w:tc>
        <w:tc>
          <w:tcPr>
            <w:tcW w:w="1984" w:type="dxa"/>
            <w:vAlign w:val="center"/>
            <w:hideMark/>
          </w:tcPr>
          <w:p w14:paraId="6C233E66"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Immune response, tissue damage in DED</w:t>
            </w:r>
          </w:p>
        </w:tc>
        <w:tc>
          <w:tcPr>
            <w:tcW w:w="1276" w:type="dxa"/>
            <w:vAlign w:val="center"/>
            <w:hideMark/>
          </w:tcPr>
          <w:p w14:paraId="1F1DCFDC"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AST</w:t>
            </w:r>
          </w:p>
        </w:tc>
        <w:tc>
          <w:tcPr>
            <w:tcW w:w="1424" w:type="dxa"/>
            <w:vAlign w:val="center"/>
            <w:hideMark/>
          </w:tcPr>
          <w:p w14:paraId="55BBE7B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Plasma membrane, nucleus, endosome cytoplasm, extracellular region</w:t>
            </w:r>
          </w:p>
        </w:tc>
        <w:tc>
          <w:tcPr>
            <w:tcW w:w="993" w:type="dxa"/>
            <w:vAlign w:val="center"/>
            <w:hideMark/>
          </w:tcPr>
          <w:p w14:paraId="24B430B1"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[96]</w:t>
            </w:r>
          </w:p>
        </w:tc>
      </w:tr>
      <w:tr w:rsidR="006F2325" w:rsidRPr="006F2325" w14:paraId="102CAF02" w14:textId="77777777" w:rsidTr="00D17E90">
        <w:trPr>
          <w:trHeight w:val="55"/>
          <w:jc w:val="center"/>
        </w:trPr>
        <w:tc>
          <w:tcPr>
            <w:tcW w:w="1560" w:type="dxa"/>
            <w:tcBorders>
              <w:top w:val="nil"/>
              <w:left w:val="nil"/>
              <w:bottom w:val="single" w:sz="4" w:space="0" w:color="auto"/>
              <w:right w:val="nil"/>
            </w:tcBorders>
            <w:shd w:val="clear" w:color="auto" w:fill="D9D9D9" w:themeFill="background1" w:themeFillShade="D9"/>
            <w:vAlign w:val="center"/>
            <w:hideMark/>
          </w:tcPr>
          <w:p w14:paraId="77A11CBB"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CsA</w:t>
            </w:r>
          </w:p>
        </w:tc>
        <w:tc>
          <w:tcPr>
            <w:tcW w:w="2693" w:type="dxa"/>
            <w:tcBorders>
              <w:top w:val="nil"/>
              <w:left w:val="nil"/>
              <w:bottom w:val="single" w:sz="4" w:space="0" w:color="auto"/>
              <w:right w:val="nil"/>
            </w:tcBorders>
            <w:shd w:val="clear" w:color="auto" w:fill="D9D9D9" w:themeFill="background1" w:themeFillShade="D9"/>
            <w:vAlign w:val="center"/>
            <w:hideMark/>
          </w:tcPr>
          <w:p w14:paraId="7AD83BB9"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Inhibit the expression of TNF-α, Bax and Bcl-2 via reactivating PI3K/AKT signalling pathway</w:t>
            </w:r>
          </w:p>
        </w:tc>
        <w:tc>
          <w:tcPr>
            <w:tcW w:w="1984" w:type="dxa"/>
            <w:tcBorders>
              <w:top w:val="nil"/>
              <w:left w:val="nil"/>
              <w:bottom w:val="single" w:sz="4" w:space="0" w:color="auto"/>
              <w:right w:val="nil"/>
            </w:tcBorders>
            <w:shd w:val="clear" w:color="auto" w:fill="D9D9D9" w:themeFill="background1" w:themeFillShade="D9"/>
            <w:vAlign w:val="center"/>
            <w:hideMark/>
          </w:tcPr>
          <w:p w14:paraId="547829E8" w14:textId="77777777" w:rsidR="006F2325" w:rsidRPr="006F2325" w:rsidRDefault="006F2325" w:rsidP="006F2325">
            <w:pPr>
              <w:widowControl/>
              <w:spacing w:line="0" w:lineRule="atLeast"/>
              <w:jc w:val="left"/>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Reduce apoptosis and inflammation</w:t>
            </w:r>
          </w:p>
        </w:tc>
        <w:tc>
          <w:tcPr>
            <w:tcW w:w="1276" w:type="dxa"/>
            <w:tcBorders>
              <w:top w:val="nil"/>
              <w:left w:val="nil"/>
              <w:bottom w:val="single" w:sz="4" w:space="0" w:color="auto"/>
              <w:right w:val="nil"/>
            </w:tcBorders>
            <w:shd w:val="clear" w:color="auto" w:fill="D9D9D9" w:themeFill="background1" w:themeFillShade="D9"/>
            <w:vAlign w:val="center"/>
            <w:hideMark/>
          </w:tcPr>
          <w:p w14:paraId="20EC934F"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w:t>
            </w:r>
          </w:p>
        </w:tc>
        <w:tc>
          <w:tcPr>
            <w:tcW w:w="1424" w:type="dxa"/>
            <w:tcBorders>
              <w:top w:val="nil"/>
              <w:left w:val="nil"/>
              <w:bottom w:val="single" w:sz="4" w:space="0" w:color="auto"/>
              <w:right w:val="nil"/>
            </w:tcBorders>
            <w:shd w:val="clear" w:color="auto" w:fill="D9D9D9" w:themeFill="background1" w:themeFillShade="D9"/>
            <w:vAlign w:val="center"/>
            <w:hideMark/>
          </w:tcPr>
          <w:p w14:paraId="2EDBF200"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kern w:val="0"/>
                <w:sz w:val="12"/>
                <w:szCs w:val="12"/>
              </w:rPr>
              <w:t>Extracellular region</w:t>
            </w:r>
            <w:r w:rsidR="00D17E90">
              <w:rPr>
                <w:rFonts w:ascii="Times New Roman" w:eastAsia="宋体" w:hAnsi="Times New Roman" w:cs="Times New Roman"/>
                <w:kern w:val="0"/>
                <w:sz w:val="12"/>
                <w:szCs w:val="12"/>
              </w:rPr>
              <w:t xml:space="preserve"> and</w:t>
            </w:r>
            <w:r w:rsidRPr="006F2325">
              <w:rPr>
                <w:rFonts w:ascii="Times New Roman" w:eastAsia="宋体" w:hAnsi="Times New Roman" w:cs="Times New Roman"/>
                <w:kern w:val="0"/>
                <w:sz w:val="12"/>
                <w:szCs w:val="12"/>
              </w:rPr>
              <w:t xml:space="preserve"> cytoplasm</w:t>
            </w:r>
          </w:p>
        </w:tc>
        <w:tc>
          <w:tcPr>
            <w:tcW w:w="993" w:type="dxa"/>
            <w:tcBorders>
              <w:top w:val="nil"/>
              <w:left w:val="nil"/>
              <w:bottom w:val="single" w:sz="4" w:space="0" w:color="auto"/>
              <w:right w:val="nil"/>
            </w:tcBorders>
            <w:shd w:val="clear" w:color="auto" w:fill="D9D9D9" w:themeFill="background1" w:themeFillShade="D9"/>
            <w:vAlign w:val="center"/>
            <w:hideMark/>
          </w:tcPr>
          <w:p w14:paraId="46DFBB99" w14:textId="77777777" w:rsidR="006F2325" w:rsidRPr="006F2325" w:rsidRDefault="006F2325" w:rsidP="006F2325">
            <w:pPr>
              <w:widowControl/>
              <w:spacing w:line="0" w:lineRule="atLeast"/>
              <w:jc w:val="center"/>
              <w:rPr>
                <w:rFonts w:ascii="Times New Roman" w:eastAsia="宋体" w:hAnsi="Times New Roman" w:cs="Times New Roman"/>
                <w:kern w:val="0"/>
                <w:sz w:val="12"/>
                <w:szCs w:val="12"/>
              </w:rPr>
            </w:pPr>
            <w:r w:rsidRPr="006F2325">
              <w:rPr>
                <w:rFonts w:ascii="Times New Roman" w:eastAsia="宋体" w:hAnsi="Times New Roman" w:cs="Times New Roman"/>
                <w:noProof/>
                <w:kern w:val="0"/>
                <w:sz w:val="12"/>
                <w:szCs w:val="12"/>
              </w:rPr>
              <w:t>[98]</w:t>
            </w:r>
          </w:p>
        </w:tc>
      </w:tr>
    </w:tbl>
    <w:p w14:paraId="1D428BB6" w14:textId="77777777" w:rsidR="006F2325" w:rsidRPr="006F2325" w:rsidRDefault="006F2325" w:rsidP="006F2325"/>
    <w:sectPr w:rsidR="006F2325" w:rsidRPr="006F2325" w:rsidSect="006F2325">
      <w:footerReference w:type="default" r:id="rId10"/>
      <w:pgSz w:w="11906" w:h="16838"/>
      <w:pgMar w:top="1440" w:right="1800" w:bottom="1440" w:left="1800"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E3FE" w16cex:dateUtc="2022-05-12T11: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21AF4" w14:textId="77777777" w:rsidR="00924168" w:rsidRDefault="00924168" w:rsidP="001514EF">
      <w:r>
        <w:separator/>
      </w:r>
    </w:p>
  </w:endnote>
  <w:endnote w:type="continuationSeparator" w:id="0">
    <w:p w14:paraId="5EF003C7" w14:textId="77777777" w:rsidR="00924168" w:rsidRDefault="00924168" w:rsidP="0015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366586"/>
      <w:docPartObj>
        <w:docPartGallery w:val="AutoText"/>
      </w:docPartObj>
    </w:sdtPr>
    <w:sdtEndPr/>
    <w:sdtContent>
      <w:p w14:paraId="4B673586" w14:textId="77777777" w:rsidR="00F14586" w:rsidRDefault="00F14586">
        <w:pPr>
          <w:pStyle w:val="a7"/>
          <w:jc w:val="right"/>
        </w:pPr>
        <w:r>
          <w:fldChar w:fldCharType="begin"/>
        </w:r>
        <w:r>
          <w:instrText>PAGE   \* MERGEFORMAT</w:instrText>
        </w:r>
        <w:r>
          <w:fldChar w:fldCharType="separate"/>
        </w:r>
        <w:r w:rsidRPr="00464356">
          <w:rPr>
            <w:noProof/>
            <w:lang w:val="zh-CN"/>
          </w:rPr>
          <w:t>6</w:t>
        </w:r>
        <w:r>
          <w:fldChar w:fldCharType="end"/>
        </w:r>
      </w:p>
    </w:sdtContent>
  </w:sdt>
  <w:p w14:paraId="517D42B3" w14:textId="77777777" w:rsidR="00F14586" w:rsidRDefault="00F145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0CC71" w14:textId="77777777" w:rsidR="00924168" w:rsidRDefault="00924168" w:rsidP="001514EF">
      <w:r>
        <w:separator/>
      </w:r>
    </w:p>
  </w:footnote>
  <w:footnote w:type="continuationSeparator" w:id="0">
    <w:p w14:paraId="276C245D" w14:textId="77777777" w:rsidR="00924168" w:rsidRDefault="00924168" w:rsidP="001514EF">
      <w:r>
        <w:continuationSeparator/>
      </w:r>
    </w:p>
  </w:footnote>
  <w:footnote w:id="1">
    <w:p w14:paraId="6DAE451B" w14:textId="77777777" w:rsidR="00F14586" w:rsidRPr="006F2325" w:rsidRDefault="00F14586" w:rsidP="006F2325">
      <w:pPr>
        <w:pStyle w:val="a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50106"/>
    <w:multiLevelType w:val="hybridMultilevel"/>
    <w:tmpl w:val="F502DCF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A46CF"/>
    <w:multiLevelType w:val="multilevel"/>
    <w:tmpl w:val="41BA46C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853732"/>
    <w:multiLevelType w:val="multilevel"/>
    <w:tmpl w:val="49853732"/>
    <w:lvl w:ilvl="0">
      <w:start w:val="3"/>
      <w:numFmt w:val="decimal"/>
      <w:lvlText w:val="%1."/>
      <w:lvlJc w:val="left"/>
      <w:pPr>
        <w:ind w:left="360" w:hanging="360"/>
      </w:pPr>
      <w:rPr>
        <w:rFonts w:hint="default"/>
        <w:b/>
        <w:sz w:val="3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8DB0D3B"/>
    <w:multiLevelType w:val="hybridMultilevel"/>
    <w:tmpl w:val="CEC63C18"/>
    <w:lvl w:ilvl="0" w:tplc="3DF68CCC">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A09100E"/>
    <w:multiLevelType w:val="hybridMultilevel"/>
    <w:tmpl w:val="F9E6AF08"/>
    <w:lvl w:ilvl="0" w:tplc="700C17A4">
      <w:start w:val="1"/>
      <w:numFmt w:val="decimal"/>
      <w:lvlText w:val="%1."/>
      <w:lvlJc w:val="left"/>
      <w:pPr>
        <w:ind w:left="720" w:hanging="360"/>
      </w:pPr>
      <w:rPr>
        <w:rFonts w:hint="default"/>
        <w:b/>
        <w:bCs/>
        <w:sz w:val="30"/>
        <w:szCs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346B0A"/>
    <w:multiLevelType w:val="hybridMultilevel"/>
    <w:tmpl w:val="EABCD38E"/>
    <w:lvl w:ilvl="0" w:tplc="667C40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MwsjQyNbMwNTIwMzFX0lEKTi0uzszPAykwrAUAS/kz2CwAAAA="/>
    <w:docVar w:name="EN.InstantFormat" w:val="&lt;ENInstantFormat&gt;&lt;Enabled&gt;1&lt;/Enabled&gt;&lt;ScanUnformatted&gt;1&lt;/ScanUnformatted&gt;&lt;ScanChanges&gt;1&lt;/ScanChanges&gt;&lt;Suspended&gt;1&lt;/Suspended&gt;&lt;/ENInstantFormat&gt;"/>
  </w:docVars>
  <w:rsids>
    <w:rsidRoot w:val="001514EF"/>
    <w:rsid w:val="001514EF"/>
    <w:rsid w:val="001B5170"/>
    <w:rsid w:val="001F3CC9"/>
    <w:rsid w:val="002350D3"/>
    <w:rsid w:val="00283157"/>
    <w:rsid w:val="002C20A4"/>
    <w:rsid w:val="0033469E"/>
    <w:rsid w:val="00462DA2"/>
    <w:rsid w:val="00536F4D"/>
    <w:rsid w:val="00545034"/>
    <w:rsid w:val="005963FF"/>
    <w:rsid w:val="00634028"/>
    <w:rsid w:val="006F2325"/>
    <w:rsid w:val="00720828"/>
    <w:rsid w:val="007373AE"/>
    <w:rsid w:val="0080446F"/>
    <w:rsid w:val="008240F6"/>
    <w:rsid w:val="008E06DC"/>
    <w:rsid w:val="009036C3"/>
    <w:rsid w:val="00924168"/>
    <w:rsid w:val="009F6DE1"/>
    <w:rsid w:val="00A44A79"/>
    <w:rsid w:val="00A75F3F"/>
    <w:rsid w:val="00BB4043"/>
    <w:rsid w:val="00C031F8"/>
    <w:rsid w:val="00C13FE8"/>
    <w:rsid w:val="00CE50EA"/>
    <w:rsid w:val="00D00343"/>
    <w:rsid w:val="00D17E90"/>
    <w:rsid w:val="00D60429"/>
    <w:rsid w:val="00EA298C"/>
    <w:rsid w:val="00EE11C8"/>
    <w:rsid w:val="00EE3186"/>
    <w:rsid w:val="00EF2496"/>
    <w:rsid w:val="00F14586"/>
    <w:rsid w:val="00F36CC7"/>
    <w:rsid w:val="00F66483"/>
    <w:rsid w:val="00FA787F"/>
    <w:rsid w:val="00FF0142"/>
    <w:rsid w:val="00FF6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884C3A6"/>
  <w15:chartTrackingRefBased/>
  <w15:docId w15:val="{85F92B2D-9785-4EFC-A8FB-347D22BC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14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1514EF"/>
    <w:pPr>
      <w:jc w:val="left"/>
    </w:pPr>
  </w:style>
  <w:style w:type="character" w:customStyle="1" w:styleId="a4">
    <w:name w:val="批注文字 字符"/>
    <w:basedOn w:val="a0"/>
    <w:link w:val="a3"/>
    <w:uiPriority w:val="99"/>
    <w:semiHidden/>
    <w:rsid w:val="001514EF"/>
  </w:style>
  <w:style w:type="paragraph" w:styleId="a5">
    <w:name w:val="Balloon Text"/>
    <w:basedOn w:val="a"/>
    <w:link w:val="a6"/>
    <w:uiPriority w:val="99"/>
    <w:semiHidden/>
    <w:unhideWhenUsed/>
    <w:rsid w:val="001514EF"/>
    <w:rPr>
      <w:sz w:val="18"/>
      <w:szCs w:val="18"/>
    </w:rPr>
  </w:style>
  <w:style w:type="character" w:customStyle="1" w:styleId="a6">
    <w:name w:val="批注框文本 字符"/>
    <w:basedOn w:val="a0"/>
    <w:link w:val="a5"/>
    <w:uiPriority w:val="99"/>
    <w:semiHidden/>
    <w:rsid w:val="001514EF"/>
    <w:rPr>
      <w:sz w:val="18"/>
      <w:szCs w:val="18"/>
    </w:rPr>
  </w:style>
  <w:style w:type="paragraph" w:styleId="a7">
    <w:name w:val="footer"/>
    <w:basedOn w:val="a"/>
    <w:link w:val="a8"/>
    <w:uiPriority w:val="99"/>
    <w:unhideWhenUsed/>
    <w:rsid w:val="001514EF"/>
    <w:pPr>
      <w:tabs>
        <w:tab w:val="center" w:pos="4153"/>
        <w:tab w:val="right" w:pos="8306"/>
      </w:tabs>
      <w:snapToGrid w:val="0"/>
      <w:jc w:val="left"/>
    </w:pPr>
    <w:rPr>
      <w:sz w:val="18"/>
      <w:szCs w:val="18"/>
    </w:rPr>
  </w:style>
  <w:style w:type="character" w:customStyle="1" w:styleId="a8">
    <w:name w:val="页脚 字符"/>
    <w:basedOn w:val="a0"/>
    <w:link w:val="a7"/>
    <w:uiPriority w:val="99"/>
    <w:rsid w:val="001514EF"/>
    <w:rPr>
      <w:sz w:val="18"/>
      <w:szCs w:val="18"/>
    </w:rPr>
  </w:style>
  <w:style w:type="paragraph" w:styleId="a9">
    <w:name w:val="header"/>
    <w:basedOn w:val="a"/>
    <w:link w:val="aa"/>
    <w:uiPriority w:val="99"/>
    <w:unhideWhenUsed/>
    <w:rsid w:val="001514EF"/>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1514EF"/>
    <w:rPr>
      <w:sz w:val="18"/>
      <w:szCs w:val="18"/>
    </w:rPr>
  </w:style>
  <w:style w:type="paragraph" w:styleId="ab">
    <w:name w:val="footnote text"/>
    <w:basedOn w:val="a"/>
    <w:link w:val="ac"/>
    <w:uiPriority w:val="99"/>
    <w:semiHidden/>
    <w:unhideWhenUsed/>
    <w:rsid w:val="001514EF"/>
    <w:pPr>
      <w:snapToGrid w:val="0"/>
      <w:jc w:val="left"/>
    </w:pPr>
    <w:rPr>
      <w:rFonts w:ascii="等线" w:eastAsia="等线" w:hAnsi="等线" w:cs="Times New Roman"/>
      <w:sz w:val="18"/>
      <w:szCs w:val="18"/>
    </w:rPr>
  </w:style>
  <w:style w:type="character" w:customStyle="1" w:styleId="ac">
    <w:name w:val="脚注文本 字符"/>
    <w:basedOn w:val="a0"/>
    <w:link w:val="ab"/>
    <w:uiPriority w:val="99"/>
    <w:semiHidden/>
    <w:rsid w:val="001514EF"/>
    <w:rPr>
      <w:rFonts w:ascii="等线" w:eastAsia="等线" w:hAnsi="等线" w:cs="Times New Roman"/>
      <w:sz w:val="18"/>
      <w:szCs w:val="18"/>
    </w:rPr>
  </w:style>
  <w:style w:type="paragraph" w:styleId="ad">
    <w:name w:val="annotation subject"/>
    <w:basedOn w:val="a3"/>
    <w:next w:val="a3"/>
    <w:link w:val="ae"/>
    <w:uiPriority w:val="99"/>
    <w:semiHidden/>
    <w:unhideWhenUsed/>
    <w:rsid w:val="001514EF"/>
    <w:rPr>
      <w:b/>
      <w:bCs/>
    </w:rPr>
  </w:style>
  <w:style w:type="character" w:customStyle="1" w:styleId="ae">
    <w:name w:val="批注主题 字符"/>
    <w:basedOn w:val="a4"/>
    <w:link w:val="ad"/>
    <w:uiPriority w:val="99"/>
    <w:semiHidden/>
    <w:rsid w:val="001514EF"/>
    <w:rPr>
      <w:b/>
      <w:bCs/>
    </w:rPr>
  </w:style>
  <w:style w:type="table" w:styleId="af">
    <w:name w:val="Table Grid"/>
    <w:basedOn w:val="a1"/>
    <w:uiPriority w:val="59"/>
    <w:qFormat/>
    <w:rsid w:val="001514E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1514EF"/>
    <w:rPr>
      <w:i/>
      <w:iCs/>
    </w:rPr>
  </w:style>
  <w:style w:type="character" w:styleId="af1">
    <w:name w:val="line number"/>
    <w:basedOn w:val="a0"/>
    <w:uiPriority w:val="99"/>
    <w:semiHidden/>
    <w:unhideWhenUsed/>
    <w:rsid w:val="001514EF"/>
  </w:style>
  <w:style w:type="character" w:styleId="af2">
    <w:name w:val="annotation reference"/>
    <w:basedOn w:val="a0"/>
    <w:uiPriority w:val="99"/>
    <w:semiHidden/>
    <w:unhideWhenUsed/>
    <w:rsid w:val="001514EF"/>
    <w:rPr>
      <w:sz w:val="21"/>
      <w:szCs w:val="21"/>
    </w:rPr>
  </w:style>
  <w:style w:type="paragraph" w:customStyle="1" w:styleId="EndNoteBibliographyTitle">
    <w:name w:val="EndNote Bibliography Title"/>
    <w:basedOn w:val="a"/>
    <w:link w:val="EndNoteBibliographyTitle0"/>
    <w:rsid w:val="001514EF"/>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sid w:val="001514EF"/>
    <w:rPr>
      <w:rFonts w:ascii="等线" w:eastAsia="等线" w:hAnsi="等线"/>
      <w:sz w:val="20"/>
    </w:rPr>
  </w:style>
  <w:style w:type="paragraph" w:customStyle="1" w:styleId="EndNoteBibliography">
    <w:name w:val="EndNote Bibliography"/>
    <w:basedOn w:val="a"/>
    <w:link w:val="EndNoteBibliography0"/>
    <w:rsid w:val="001514EF"/>
    <w:rPr>
      <w:rFonts w:ascii="等线" w:eastAsia="等线" w:hAnsi="等线"/>
      <w:sz w:val="20"/>
    </w:rPr>
  </w:style>
  <w:style w:type="character" w:customStyle="1" w:styleId="EndNoteBibliography0">
    <w:name w:val="EndNote Bibliography 字符"/>
    <w:basedOn w:val="a0"/>
    <w:link w:val="EndNoteBibliography"/>
    <w:rsid w:val="001514EF"/>
    <w:rPr>
      <w:rFonts w:ascii="等线" w:eastAsia="等线" w:hAnsi="等线"/>
      <w:sz w:val="20"/>
    </w:rPr>
  </w:style>
  <w:style w:type="paragraph" w:styleId="af3">
    <w:name w:val="List Paragraph"/>
    <w:basedOn w:val="a"/>
    <w:uiPriority w:val="34"/>
    <w:qFormat/>
    <w:rsid w:val="001514EF"/>
    <w:pPr>
      <w:ind w:firstLineChars="200" w:firstLine="420"/>
    </w:pPr>
  </w:style>
  <w:style w:type="paragraph" w:customStyle="1" w:styleId="1">
    <w:name w:val="修订1"/>
    <w:hidden/>
    <w:uiPriority w:val="99"/>
    <w:semiHidden/>
    <w:rsid w:val="001514EF"/>
  </w:style>
  <w:style w:type="table" w:customStyle="1" w:styleId="10">
    <w:name w:val="网格型1"/>
    <w:basedOn w:val="a1"/>
    <w:uiPriority w:val="59"/>
    <w:qFormat/>
    <w:rsid w:val="001514E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59"/>
    <w:qFormat/>
    <w:rsid w:val="001514EF"/>
    <w:pPr>
      <w:widowControl w:val="0"/>
      <w:jc w:val="both"/>
    </w:pPr>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无列表1"/>
    <w:next w:val="a2"/>
    <w:uiPriority w:val="99"/>
    <w:semiHidden/>
    <w:unhideWhenUsed/>
    <w:rsid w:val="001514EF"/>
  </w:style>
  <w:style w:type="paragraph" w:styleId="af4">
    <w:name w:val="Revision"/>
    <w:hidden/>
    <w:uiPriority w:val="99"/>
    <w:semiHidden/>
    <w:rsid w:val="001514EF"/>
  </w:style>
  <w:style w:type="table" w:customStyle="1" w:styleId="3">
    <w:name w:val="网格型3"/>
    <w:basedOn w:val="a1"/>
    <w:next w:val="af"/>
    <w:uiPriority w:val="59"/>
    <w:qFormat/>
    <w:rsid w:val="001514E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next w:val="af"/>
    <w:uiPriority w:val="59"/>
    <w:qFormat/>
    <w:rsid w:val="001514E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next w:val="af"/>
    <w:uiPriority w:val="59"/>
    <w:qFormat/>
    <w:rsid w:val="001514EF"/>
    <w:pPr>
      <w:widowControl w:val="0"/>
      <w:jc w:val="both"/>
    </w:pPr>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1514EF"/>
    <w:rPr>
      <w:color w:val="0563C1" w:themeColor="hyperlink"/>
      <w:u w:val="single"/>
    </w:rPr>
  </w:style>
  <w:style w:type="character" w:customStyle="1" w:styleId="12">
    <w:name w:val="未处理的提及1"/>
    <w:basedOn w:val="a0"/>
    <w:uiPriority w:val="99"/>
    <w:semiHidden/>
    <w:unhideWhenUsed/>
    <w:rsid w:val="001514EF"/>
    <w:rPr>
      <w:color w:val="605E5C"/>
      <w:shd w:val="clear" w:color="auto" w:fill="E1DFDD"/>
    </w:rPr>
  </w:style>
  <w:style w:type="paragraph" w:styleId="af6">
    <w:name w:val="endnote text"/>
    <w:basedOn w:val="a"/>
    <w:link w:val="af7"/>
    <w:uiPriority w:val="99"/>
    <w:semiHidden/>
    <w:unhideWhenUsed/>
    <w:rsid w:val="001514EF"/>
    <w:pPr>
      <w:snapToGrid w:val="0"/>
      <w:jc w:val="left"/>
    </w:pPr>
  </w:style>
  <w:style w:type="character" w:customStyle="1" w:styleId="af7">
    <w:name w:val="尾注文本 字符"/>
    <w:basedOn w:val="a0"/>
    <w:link w:val="af6"/>
    <w:uiPriority w:val="99"/>
    <w:semiHidden/>
    <w:rsid w:val="001514EF"/>
  </w:style>
  <w:style w:type="character" w:styleId="af8">
    <w:name w:val="endnote reference"/>
    <w:basedOn w:val="a0"/>
    <w:uiPriority w:val="99"/>
    <w:semiHidden/>
    <w:unhideWhenUsed/>
    <w:rsid w:val="001514EF"/>
    <w:rPr>
      <w:vertAlign w:val="superscript"/>
    </w:rPr>
  </w:style>
  <w:style w:type="character" w:styleId="af9">
    <w:name w:val="footnote reference"/>
    <w:basedOn w:val="a0"/>
    <w:uiPriority w:val="99"/>
    <w:semiHidden/>
    <w:unhideWhenUsed/>
    <w:rsid w:val="001514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93829">
      <w:bodyDiv w:val="1"/>
      <w:marLeft w:val="0"/>
      <w:marRight w:val="0"/>
      <w:marTop w:val="0"/>
      <w:marBottom w:val="0"/>
      <w:divBdr>
        <w:top w:val="none" w:sz="0" w:space="0" w:color="auto"/>
        <w:left w:val="none" w:sz="0" w:space="0" w:color="auto"/>
        <w:bottom w:val="none" w:sz="0" w:space="0" w:color="auto"/>
        <w:right w:val="none" w:sz="0" w:space="0" w:color="auto"/>
      </w:divBdr>
    </w:div>
    <w:div w:id="1093932761">
      <w:bodyDiv w:val="1"/>
      <w:marLeft w:val="0"/>
      <w:marRight w:val="0"/>
      <w:marTop w:val="0"/>
      <w:marBottom w:val="0"/>
      <w:divBdr>
        <w:top w:val="none" w:sz="0" w:space="0" w:color="auto"/>
        <w:left w:val="none" w:sz="0" w:space="0" w:color="auto"/>
        <w:bottom w:val="none" w:sz="0" w:space="0" w:color="auto"/>
        <w:right w:val="none" w:sz="0" w:space="0" w:color="auto"/>
      </w:divBdr>
    </w:div>
    <w:div w:id="202809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160105142@zju.edu.cn"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idrshen@zju.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ahim@z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34</Pages>
  <Words>10621</Words>
  <Characters>60546</Characters>
  <Application>Microsoft Office Word</Application>
  <DocSecurity>0</DocSecurity>
  <Lines>504</Lines>
  <Paragraphs>142</Paragraphs>
  <ScaleCrop>false</ScaleCrop>
  <Company/>
  <LinksUpToDate>false</LinksUpToDate>
  <CharactersWithSpaces>71025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天涯若比邻</dc:creator>
  <cp:keywords/>
  <dc:description/>
  <cp:lastModifiedBy>天涯若比邻</cp:lastModifiedBy>
  <cp:revision>9</cp:revision>
  <dcterms:created xsi:type="dcterms:W3CDTF">2022-05-12T12:43:00Z</dcterms:created>
  <dcterms:modified xsi:type="dcterms:W3CDTF">2022-05-16T16:21:00Z</dcterms:modified>
</cp:coreProperties>
</file>