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SUPPLEMENTARY FIGURE LEGENDS</w:t>
      </w: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Supplementary</w:t>
      </w:r>
      <w:r>
        <w:rPr>
          <w:rFonts w:ascii="Arial" w:hAnsi="Arial" w:cs="Arial"/>
          <w:b/>
          <w:color w:val="auto"/>
          <w:sz w:val="22"/>
          <w:szCs w:val="22"/>
        </w:rPr>
        <w:t xml:space="preserve"> Fig. 1 The effect of VX</w:t>
      </w:r>
      <w:r>
        <w:rPr>
          <w:rFonts w:hint="eastAsia" w:ascii="Arial" w:hAnsi="Arial" w:cs="Arial"/>
          <w:b/>
          <w:color w:val="auto"/>
          <w:sz w:val="22"/>
          <w:szCs w:val="22"/>
          <w:lang w:val="en-US" w:eastAsia="zh-CN"/>
        </w:rPr>
        <w:t>765</w:t>
      </w:r>
      <w:bookmarkStart w:id="0" w:name="_GoBack"/>
      <w:bookmarkEnd w:id="0"/>
      <w:r>
        <w:rPr>
          <w:rFonts w:ascii="Arial" w:hAnsi="Arial" w:cs="Arial"/>
          <w:b/>
          <w:color w:val="auto"/>
          <w:sz w:val="22"/>
          <w:szCs w:val="22"/>
        </w:rPr>
        <w:t xml:space="preserve"> itself on mitochondrial damage and pyroptosis.</w:t>
      </w:r>
    </w:p>
    <w:p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J774A.1 cells were treated as indicated. The cells were then  stained with DCFH-DA and Mitotracker (</w:t>
      </w:r>
      <w:r>
        <w:rPr>
          <w:rFonts w:ascii="Arial" w:hAnsi="Arial" w:cs="Arial"/>
          <w:b/>
          <w:color w:val="auto"/>
          <w:sz w:val="22"/>
          <w:szCs w:val="22"/>
        </w:rPr>
        <w:t>A</w:t>
      </w:r>
      <w:r>
        <w:rPr>
          <w:rFonts w:ascii="Arial" w:hAnsi="Arial" w:cs="Arial"/>
          <w:color w:val="auto"/>
          <w:sz w:val="22"/>
          <w:szCs w:val="22"/>
        </w:rPr>
        <w:t>) ,  JC-1 (</w:t>
      </w:r>
      <w:r>
        <w:rPr>
          <w:rFonts w:ascii="Arial" w:hAnsi="Arial" w:cs="Arial"/>
          <w:b/>
          <w:color w:val="auto"/>
          <w:sz w:val="22"/>
          <w:szCs w:val="22"/>
        </w:rPr>
        <w:t>B</w:t>
      </w:r>
      <w:r>
        <w:rPr>
          <w:rFonts w:ascii="Arial" w:hAnsi="Arial" w:cs="Arial"/>
          <w:color w:val="auto"/>
          <w:sz w:val="22"/>
          <w:szCs w:val="22"/>
        </w:rPr>
        <w:t>), and PI/Hoechst 33342 (</w:t>
      </w:r>
      <w:r>
        <w:rPr>
          <w:rFonts w:ascii="Arial" w:hAnsi="Arial" w:cs="Arial"/>
          <w:b/>
          <w:color w:val="auto"/>
          <w:sz w:val="22"/>
          <w:szCs w:val="22"/>
        </w:rPr>
        <w:t>C</w:t>
      </w:r>
      <w:r>
        <w:rPr>
          <w:rFonts w:ascii="Arial" w:hAnsi="Arial" w:cs="Arial"/>
          <w:color w:val="auto"/>
          <w:sz w:val="22"/>
          <w:szCs w:val="22"/>
        </w:rPr>
        <w:t>). ROS reactive oxygen species; VX VX765; LPS Lipopolysaccharides; PI Propidium iodide.</w:t>
      </w: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Supplementary</w:t>
      </w:r>
      <w:r>
        <w:rPr>
          <w:rFonts w:ascii="Arial" w:hAnsi="Arial" w:cs="Arial"/>
          <w:b/>
          <w:color w:val="auto"/>
          <w:sz w:val="22"/>
          <w:szCs w:val="22"/>
        </w:rPr>
        <w:t xml:space="preserve"> Fig. 2 Activated NLRP3 inflammasome amplifies mitochondrial damage and VX765</w:t>
      </w:r>
      <w:r>
        <w:rPr>
          <w:rFonts w:hint="eastAsia" w:ascii="Arial" w:hAnsi="Arial" w:cs="Arial"/>
          <w:b/>
          <w:color w:val="auto"/>
          <w:sz w:val="22"/>
          <w:szCs w:val="22"/>
          <w:lang w:val="en-US" w:eastAsia="zh-CN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 xml:space="preserve">inhibits cell death. </w:t>
      </w:r>
    </w:p>
    <w:p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Immortalized BMDMs were treated without or with LPS plus ATP ± VX765. The cells were then stained with DCFH-DA and Mitotracker (</w:t>
      </w:r>
      <w:r>
        <w:rPr>
          <w:rFonts w:ascii="Arial" w:hAnsi="Arial" w:cs="Arial"/>
          <w:b/>
          <w:color w:val="auto"/>
          <w:sz w:val="22"/>
          <w:szCs w:val="22"/>
        </w:rPr>
        <w:t>A</w:t>
      </w:r>
      <w:r>
        <w:rPr>
          <w:rFonts w:ascii="Arial" w:hAnsi="Arial" w:cs="Arial"/>
          <w:color w:val="auto"/>
          <w:sz w:val="22"/>
          <w:szCs w:val="22"/>
        </w:rPr>
        <w:t>), JC-1 (</w:t>
      </w:r>
      <w:r>
        <w:rPr>
          <w:rFonts w:ascii="Arial" w:hAnsi="Arial" w:cs="Arial"/>
          <w:b/>
          <w:color w:val="auto"/>
          <w:sz w:val="22"/>
          <w:szCs w:val="22"/>
        </w:rPr>
        <w:t>B</w:t>
      </w:r>
      <w:r>
        <w:rPr>
          <w:rFonts w:ascii="Arial" w:hAnsi="Arial" w:cs="Arial"/>
          <w:color w:val="auto"/>
          <w:sz w:val="22"/>
          <w:szCs w:val="22"/>
        </w:rPr>
        <w:t>) and PI/Hoechst 33342 (</w:t>
      </w:r>
      <w:r>
        <w:rPr>
          <w:rFonts w:ascii="Arial" w:hAnsi="Arial" w:cs="Arial"/>
          <w:b/>
          <w:color w:val="auto"/>
          <w:sz w:val="22"/>
          <w:szCs w:val="22"/>
        </w:rPr>
        <w:t>C</w:t>
      </w:r>
      <w:r>
        <w:rPr>
          <w:rFonts w:ascii="Arial" w:hAnsi="Arial" w:cs="Arial"/>
          <w:color w:val="auto"/>
          <w:sz w:val="22"/>
          <w:szCs w:val="22"/>
        </w:rPr>
        <w:t>). ROS reactive oxygen species; VX VX765; LPS Lipopolysaccharides; PI Propidium iodide.</w:t>
      </w: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Supplementary Fig. 3</w:t>
      </w:r>
      <w:r>
        <w:rPr>
          <w:rFonts w:ascii="Arial" w:hAnsi="Arial" w:cs="Arial"/>
          <w:b/>
          <w:color w:val="auto"/>
          <w:sz w:val="22"/>
          <w:szCs w:val="22"/>
        </w:rPr>
        <w:t xml:space="preserve"> The effect of VX765 on ABCA1 expression in </w:t>
      </w:r>
      <w:r>
        <w:rPr>
          <w:rFonts w:ascii="Arial" w:hAnsi="Arial" w:cs="Arial"/>
          <w:b/>
          <w:i/>
          <w:color w:val="auto"/>
          <w:sz w:val="22"/>
          <w:szCs w:val="22"/>
        </w:rPr>
        <w:t>ApoE</w:t>
      </w:r>
      <w:r>
        <w:rPr>
          <w:rFonts w:ascii="Arial" w:hAnsi="Arial" w:cs="Arial"/>
          <w:b/>
          <w:i/>
          <w:color w:val="auto"/>
          <w:sz w:val="22"/>
          <w:szCs w:val="22"/>
          <w:vertAlign w:val="superscript"/>
        </w:rPr>
        <w:t>-/-</w:t>
      </w:r>
      <w:r>
        <w:rPr>
          <w:rFonts w:ascii="Arial" w:hAnsi="Arial" w:cs="Arial"/>
          <w:b/>
          <w:color w:val="auto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BMDMs.</w:t>
      </w:r>
    </w:p>
    <w:p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vertAlign w:val="superscript"/>
        </w:rPr>
      </w:pPr>
      <w:r>
        <w:rPr>
          <w:rFonts w:ascii="Arial" w:hAnsi="Arial" w:cs="Arial"/>
          <w:color w:val="auto"/>
          <w:sz w:val="22"/>
          <w:szCs w:val="22"/>
        </w:rPr>
        <w:t>ApoE</w:t>
      </w:r>
      <w:r>
        <w:rPr>
          <w:rFonts w:ascii="Arial" w:hAnsi="Arial" w:cs="Arial"/>
          <w:color w:val="auto"/>
          <w:sz w:val="22"/>
          <w:szCs w:val="22"/>
          <w:vertAlign w:val="superscript"/>
        </w:rPr>
        <w:t xml:space="preserve">-/- </w:t>
      </w:r>
      <w:r>
        <w:rPr>
          <w:rFonts w:ascii="Arial" w:hAnsi="Arial" w:cs="Arial"/>
          <w:color w:val="auto"/>
          <w:sz w:val="22"/>
          <w:szCs w:val="22"/>
        </w:rPr>
        <w:t xml:space="preserve">BMDMs were treated with LPS and ATP ± VX765 (28 </w:t>
      </w:r>
      <w:r>
        <w:rPr>
          <w:rFonts w:ascii="Arial" w:hAnsi="Arial" w:cs="Arial"/>
          <w:color w:val="auto"/>
          <w:sz w:val="22"/>
          <w:szCs w:val="22"/>
          <w:lang w:val="el-GR"/>
        </w:rPr>
        <w:t>μ</w:t>
      </w:r>
      <w:r>
        <w:rPr>
          <w:rFonts w:ascii="Arial" w:hAnsi="Arial" w:cs="Arial"/>
          <w:color w:val="auto"/>
          <w:sz w:val="22"/>
          <w:szCs w:val="22"/>
        </w:rPr>
        <w:t>g/mL). Cell lysates were analyzed by immunoblotting. M</w:t>
      </w:r>
      <w:r>
        <w:rPr>
          <w:rFonts w:ascii="Arial" w:hAnsi="Arial" w:cs="Arial"/>
          <w:color w:val="auto"/>
          <w:sz w:val="22"/>
          <w:szCs w:val="22"/>
          <w:lang w:val="el-GR"/>
        </w:rPr>
        <w:t>φ</w:t>
      </w:r>
      <w:r>
        <w:rPr>
          <w:rFonts w:ascii="Arial" w:hAnsi="Arial" w:cs="Arial"/>
          <w:color w:val="auto"/>
          <w:sz w:val="22"/>
          <w:szCs w:val="22"/>
        </w:rPr>
        <w:t xml:space="preserve"> macrophages; LPS Lipopolysaccharides.</w:t>
      </w: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Supplementary Fig. 4 The expression of interleukin-1</w:t>
      </w:r>
      <w:r>
        <w:rPr>
          <w:rFonts w:ascii="Arial" w:hAnsi="Arial" w:cs="Arial"/>
          <w:b/>
          <w:color w:val="auto"/>
          <w:sz w:val="22"/>
          <w:szCs w:val="22"/>
          <w:lang w:val="el-GR"/>
        </w:rPr>
        <w:t>β</w:t>
      </w:r>
      <w:r>
        <w:rPr>
          <w:rFonts w:ascii="Arial" w:hAnsi="Arial" w:cs="Arial"/>
          <w:b/>
          <w:color w:val="auto"/>
          <w:sz w:val="22"/>
          <w:szCs w:val="22"/>
        </w:rPr>
        <w:t xml:space="preserve"> and its regulation by VX765 in smooth muscle cells in atherosclerotic plaques.</w:t>
      </w:r>
    </w:p>
    <w:p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The aortic sinuses in </w:t>
      </w:r>
      <w:r>
        <w:rPr>
          <w:rFonts w:ascii="Arial" w:hAnsi="Arial" w:cs="Arial"/>
          <w:i/>
          <w:color w:val="auto"/>
          <w:sz w:val="22"/>
          <w:szCs w:val="22"/>
        </w:rPr>
        <w:t>L</w:t>
      </w:r>
      <w:r>
        <w:rPr>
          <w:rFonts w:hint="eastAsia" w:ascii="Arial" w:hAnsi="Arial" w:cs="Arial"/>
          <w:i/>
          <w:color w:val="auto"/>
          <w:sz w:val="22"/>
          <w:szCs w:val="22"/>
        </w:rPr>
        <w:t>dl</w:t>
      </w:r>
      <w:r>
        <w:rPr>
          <w:rFonts w:ascii="Arial" w:hAnsi="Arial" w:cs="Arial"/>
          <w:i/>
          <w:color w:val="auto"/>
          <w:sz w:val="22"/>
          <w:szCs w:val="22"/>
        </w:rPr>
        <w:t>r</w:t>
      </w:r>
      <w:r>
        <w:rPr>
          <w:rFonts w:ascii="Arial" w:hAnsi="Arial" w:cs="Arial"/>
          <w:i/>
          <w:color w:val="auto"/>
          <w:sz w:val="22"/>
          <w:szCs w:val="22"/>
          <w:vertAlign w:val="superscript"/>
        </w:rPr>
        <w:t>-/-</w:t>
      </w:r>
      <w:r>
        <w:rPr>
          <w:rFonts w:ascii="Arial" w:hAnsi="Arial" w:cs="Arial"/>
          <w:color w:val="auto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mice treated with VX765 or vehicle were analyzed by immunofluorescent staining with the indicated antibodies. </w:t>
      </w:r>
      <w:r>
        <w:rPr>
          <w:rFonts w:ascii="Arial" w:hAnsi="Arial" w:cs="Arial"/>
          <w:color w:val="auto"/>
          <w:sz w:val="22"/>
          <w:szCs w:val="22"/>
          <w:lang w:val="el-GR"/>
        </w:rPr>
        <w:t>α</w:t>
      </w:r>
      <w:r>
        <w:rPr>
          <w:rFonts w:ascii="Arial" w:hAnsi="Arial" w:cs="Arial"/>
          <w:color w:val="auto"/>
          <w:sz w:val="22"/>
          <w:szCs w:val="22"/>
        </w:rPr>
        <w:t xml:space="preserve">-SMA </w:t>
      </w:r>
      <w:r>
        <w:rPr>
          <w:rFonts w:ascii="Arial" w:hAnsi="Arial" w:cs="Arial"/>
          <w:color w:val="auto"/>
          <w:sz w:val="22"/>
          <w:szCs w:val="22"/>
          <w:lang w:val="el-GR"/>
        </w:rPr>
        <w:t>α</w:t>
      </w:r>
      <w:r>
        <w:rPr>
          <w:rFonts w:ascii="Arial" w:hAnsi="Arial" w:cs="Arial"/>
          <w:color w:val="auto"/>
          <w:sz w:val="22"/>
          <w:szCs w:val="22"/>
        </w:rPr>
        <w:t>-smooth muscle cell actin; IL-1</w:t>
      </w:r>
      <w:r>
        <w:rPr>
          <w:rFonts w:ascii="Arial" w:hAnsi="Arial" w:cs="Arial"/>
          <w:color w:val="auto"/>
          <w:sz w:val="22"/>
          <w:szCs w:val="22"/>
          <w:lang w:val="el-GR"/>
        </w:rPr>
        <w:t>β</w:t>
      </w:r>
      <w:r>
        <w:rPr>
          <w:rFonts w:ascii="Arial" w:hAnsi="Arial" w:cs="Arial"/>
          <w:color w:val="auto"/>
          <w:sz w:val="22"/>
          <w:szCs w:val="22"/>
        </w:rPr>
        <w:t xml:space="preserve"> interleukin-1</w:t>
      </w:r>
      <w:r>
        <w:rPr>
          <w:rFonts w:ascii="Arial" w:hAnsi="Arial" w:cs="Arial"/>
          <w:color w:val="auto"/>
          <w:sz w:val="22"/>
          <w:szCs w:val="22"/>
          <w:lang w:val="el-GR"/>
        </w:rPr>
        <w:t>β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Supplementary Fig. 5 The expression of NLRP3 in the aortic sinuses of </w:t>
      </w:r>
      <w:r>
        <w:rPr>
          <w:rFonts w:ascii="Arial" w:hAnsi="Arial" w:cs="Arial"/>
          <w:b/>
          <w:i/>
          <w:color w:val="auto"/>
          <w:sz w:val="22"/>
          <w:szCs w:val="22"/>
        </w:rPr>
        <w:t>ApoE</w:t>
      </w:r>
      <w:r>
        <w:rPr>
          <w:rFonts w:ascii="Arial" w:hAnsi="Arial" w:cs="Arial"/>
          <w:b/>
          <w:i/>
          <w:color w:val="auto"/>
          <w:sz w:val="22"/>
          <w:szCs w:val="22"/>
          <w:vertAlign w:val="superscript"/>
        </w:rPr>
        <w:t>-/-</w:t>
      </w:r>
      <w:r>
        <w:rPr>
          <w:rFonts w:ascii="Arial" w:hAnsi="Arial" w:cs="Arial"/>
          <w:b/>
          <w:color w:val="auto"/>
          <w:sz w:val="22"/>
          <w:szCs w:val="22"/>
          <w:vertAlign w:val="superscript"/>
        </w:rPr>
        <w:t xml:space="preserve"> </w:t>
      </w:r>
      <w:r>
        <w:rPr>
          <w:rFonts w:hint="eastAsia" w:ascii="Arial" w:hAnsi="Arial" w:cs="Arial"/>
          <w:b/>
          <w:color w:val="auto"/>
          <w:sz w:val="22"/>
          <w:szCs w:val="22"/>
        </w:rPr>
        <w:t>a</w:t>
      </w:r>
      <w:r>
        <w:rPr>
          <w:rFonts w:ascii="Arial" w:hAnsi="Arial" w:cs="Arial"/>
          <w:b/>
          <w:color w:val="auto"/>
          <w:sz w:val="22"/>
          <w:szCs w:val="22"/>
        </w:rPr>
        <w:t xml:space="preserve">nd </w:t>
      </w:r>
      <w:r>
        <w:rPr>
          <w:rFonts w:ascii="Arial" w:hAnsi="Arial" w:cs="Arial"/>
          <w:b/>
          <w:i/>
          <w:color w:val="auto"/>
          <w:sz w:val="22"/>
          <w:szCs w:val="22"/>
        </w:rPr>
        <w:t>N</w:t>
      </w:r>
      <w:r>
        <w:rPr>
          <w:rFonts w:hint="eastAsia" w:ascii="Arial" w:hAnsi="Arial" w:cs="Arial"/>
          <w:b/>
          <w:i/>
          <w:color w:val="auto"/>
          <w:sz w:val="22"/>
          <w:szCs w:val="22"/>
        </w:rPr>
        <w:t>lrp</w:t>
      </w:r>
      <w:r>
        <w:rPr>
          <w:rFonts w:ascii="Arial" w:hAnsi="Arial" w:cs="Arial"/>
          <w:b/>
          <w:i/>
          <w:color w:val="auto"/>
          <w:sz w:val="22"/>
          <w:szCs w:val="22"/>
        </w:rPr>
        <w:t>3</w:t>
      </w:r>
      <w:r>
        <w:rPr>
          <w:rFonts w:ascii="Arial" w:hAnsi="Arial" w:cs="Arial"/>
          <w:b/>
          <w:i/>
          <w:color w:val="auto"/>
          <w:sz w:val="22"/>
          <w:szCs w:val="22"/>
          <w:vertAlign w:val="superscript"/>
        </w:rPr>
        <w:t>-/-</w:t>
      </w:r>
      <w:r>
        <w:rPr>
          <w:rFonts w:hint="eastAsia" w:ascii="Arial" w:hAnsi="Arial" w:cs="Arial"/>
          <w:b/>
          <w:i/>
          <w:color w:val="auto"/>
          <w:sz w:val="22"/>
          <w:szCs w:val="22"/>
        </w:rPr>
        <w:t>;</w:t>
      </w:r>
      <w:r>
        <w:rPr>
          <w:rFonts w:ascii="Arial" w:hAnsi="Arial" w:cs="Arial"/>
          <w:b/>
          <w:i/>
          <w:color w:val="auto"/>
          <w:sz w:val="22"/>
          <w:szCs w:val="22"/>
        </w:rPr>
        <w:t>ApoE</w:t>
      </w:r>
      <w:r>
        <w:rPr>
          <w:rFonts w:ascii="Arial" w:hAnsi="Arial" w:cs="Arial"/>
          <w:b/>
          <w:i/>
          <w:color w:val="auto"/>
          <w:sz w:val="22"/>
          <w:szCs w:val="22"/>
          <w:vertAlign w:val="superscript"/>
        </w:rPr>
        <w:t>-/-</w:t>
      </w:r>
      <w:r>
        <w:rPr>
          <w:rFonts w:ascii="Arial" w:hAnsi="Arial" w:cs="Arial"/>
          <w:b/>
          <w:color w:val="auto"/>
          <w:sz w:val="22"/>
          <w:szCs w:val="22"/>
        </w:rPr>
        <w:t xml:space="preserve"> mice.</w:t>
      </w:r>
    </w:p>
    <w:p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The expression of  NLRP3 in the aortic sinuses was determined by immunohistochemical staining.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C0384"/>
    <w:rsid w:val="220401DD"/>
    <w:rsid w:val="28EC0384"/>
    <w:rsid w:val="4B1C0825"/>
    <w:rsid w:val="7CD3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 Spacing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1248</Characters>
  <Lines>0</Lines>
  <Paragraphs>0</Paragraphs>
  <TotalTime>2</TotalTime>
  <ScaleCrop>false</ScaleCrop>
  <LinksUpToDate>false</LinksUpToDate>
  <CharactersWithSpaces>1455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2021-10-27T03:04:00Z</dcterms:created>
  <dc:creator>金莹</dc:creator>
  <cp:lastModifiedBy>金莹</cp:lastModifiedBy>
  <dcterms:modified xsi:type="dcterms:W3CDTF">2022-04-15T12:34:51Z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718A0CB3F22948F39B28CB43AECDDFF8</vt:lpwstr>
  </property>
</Properties>
</file>