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eastAsia="宋体"/>
          <w:sz w:val="24"/>
          <w:szCs w:val="24"/>
          <w:lang w:eastAsia="zh-CN"/>
        </w:rPr>
      </w:pPr>
      <w:r>
        <w:rPr>
          <w:rFonts w:hint="eastAsia" w:eastAsia="宋体"/>
          <w:sz w:val="24"/>
          <w:szCs w:val="24"/>
          <w:lang w:eastAsia="zh-CN"/>
        </w:rPr>
        <w:drawing>
          <wp:inline distT="0" distB="0" distL="114300" distR="114300">
            <wp:extent cx="6183630" cy="3961765"/>
            <wp:effectExtent l="0" t="0" r="7620" b="635"/>
            <wp:docPr id="3" name="图片 3" descr="figure S1-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1-new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3630" cy="396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both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Supplementary Fig. 1 Identification of IPF related genes.</w:t>
      </w:r>
      <w:r>
        <w:rPr>
          <w:rFonts w:hint="eastAsia"/>
          <w:sz w:val="24"/>
          <w:szCs w:val="24"/>
        </w:rPr>
        <w:t xml:space="preserve"> (a) Venn diagram of overlapping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differentially expressed genes (mRNAs and lncRNAs) among two groups of comparison: early IPF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vs. normal lung, advanced IPF vs. normal lung in whole lung samples from GSE24206. Correlations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between IPF related mRNAs and lncRNAs were calculated to construct the IPF co-expression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 xml:space="preserve">network (|r| &gt;0.8, </w:t>
      </w:r>
      <w:r>
        <w:rPr>
          <w:rFonts w:hint="eastAsia"/>
          <w:i/>
          <w:iCs/>
          <w:sz w:val="24"/>
          <w:szCs w:val="24"/>
        </w:rPr>
        <w:t>P</w:t>
      </w:r>
      <w:r>
        <w:rPr>
          <w:rFonts w:hint="eastAsia"/>
          <w:sz w:val="24"/>
          <w:szCs w:val="24"/>
        </w:rPr>
        <w:t>-value &lt; 0.01, Pearson Correlation Test). (b) Differentially expressed genes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(mRNAs and lncRNAs) between IPF and normal lung in lung fibroblasts from GSE44723.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Correlations between IPF related mRNAs and lncRNAs were calculated to construct the IPF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 xml:space="preserve">co-expression network (|r| &gt;0.8, </w:t>
      </w:r>
      <w:r>
        <w:rPr>
          <w:rFonts w:hint="eastAsia"/>
          <w:i/>
          <w:iCs/>
          <w:sz w:val="24"/>
          <w:szCs w:val="24"/>
        </w:rPr>
        <w:t>P</w:t>
      </w:r>
      <w:r>
        <w:rPr>
          <w:rFonts w:hint="eastAsia"/>
          <w:sz w:val="24"/>
          <w:szCs w:val="24"/>
        </w:rPr>
        <w:t>-value &lt; 0.01, Pearson Correlation Test). DE, differentially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expressed.</w:t>
      </w:r>
    </w:p>
    <w:p>
      <w:pPr>
        <w:spacing w:line="480" w:lineRule="auto"/>
        <w:rPr>
          <w:sz w:val="24"/>
          <w:szCs w:val="24"/>
        </w:rPr>
      </w:pPr>
    </w:p>
    <w:p>
      <w:pPr>
        <w:spacing w:line="480" w:lineRule="auto"/>
        <w:rPr>
          <w:sz w:val="24"/>
          <w:szCs w:val="24"/>
        </w:rPr>
      </w:pPr>
    </w:p>
    <w:p>
      <w:pPr>
        <w:spacing w:line="480" w:lineRule="auto"/>
        <w:rPr>
          <w:rFonts w:hint="eastAsia" w:eastAsia="宋体"/>
          <w:sz w:val="24"/>
          <w:szCs w:val="24"/>
          <w:lang w:eastAsia="zh-CN"/>
        </w:rPr>
      </w:pPr>
      <w:r>
        <w:rPr>
          <w:rFonts w:hint="eastAsia" w:eastAsia="宋体"/>
          <w:sz w:val="24"/>
          <w:szCs w:val="24"/>
          <w:lang w:eastAsia="zh-CN"/>
        </w:rPr>
        <w:drawing>
          <wp:inline distT="0" distB="0" distL="114300" distR="114300">
            <wp:extent cx="6185535" cy="5436235"/>
            <wp:effectExtent l="0" t="0" r="5715" b="12065"/>
            <wp:docPr id="1" name="图片 1" descr="Layou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ayout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5535" cy="543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hint="eastAsia"/>
          <w:sz w:val="24"/>
          <w:szCs w:val="24"/>
          <w:lang w:val="en-US" w:eastAsia="zh-CN"/>
        </w:rPr>
      </w:pPr>
      <w:bookmarkStart w:id="0" w:name="OLE_LINK1"/>
      <w:r>
        <w:rPr>
          <w:b/>
          <w:bCs/>
          <w:sz w:val="24"/>
          <w:szCs w:val="24"/>
        </w:rPr>
        <w:t>Supplementary Fig. 2</w:t>
      </w:r>
      <w:bookmarkEnd w:id="0"/>
      <w:r>
        <w:rPr>
          <w:b/>
          <w:bCs/>
          <w:sz w:val="24"/>
          <w:szCs w:val="24"/>
        </w:rPr>
        <w:t xml:space="preserve"> Effects of TP53TG1 knockdown on MRC-5 activation.</w:t>
      </w:r>
      <w:r>
        <w:rPr>
          <w:sz w:val="24"/>
          <w:szCs w:val="24"/>
        </w:rPr>
        <w:t xml:space="preserve"> (a) The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</w:rPr>
        <w:t>knockdown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</w:rPr>
        <w:t xml:space="preserve">efficiency of TP53TG1 </w:t>
      </w:r>
      <w:r>
        <w:rPr>
          <w:rFonts w:hint="eastAsia"/>
          <w:sz w:val="24"/>
          <w:szCs w:val="24"/>
          <w:lang w:val="en-US" w:eastAsia="zh-CN"/>
        </w:rPr>
        <w:t>smart silencer</w:t>
      </w:r>
      <w:r>
        <w:rPr>
          <w:sz w:val="24"/>
          <w:szCs w:val="24"/>
        </w:rPr>
        <w:t xml:space="preserve"> evaluated by qRT-PCR assay. (b) </w:t>
      </w:r>
      <w:r>
        <w:rPr>
          <w:rFonts w:hint="eastAsia"/>
          <w:sz w:val="24"/>
          <w:szCs w:val="24"/>
          <w:lang w:val="en-US" w:eastAsia="zh-CN"/>
        </w:rPr>
        <w:t>K</w:t>
      </w:r>
      <w:r>
        <w:rPr>
          <w:sz w:val="24"/>
          <w:szCs w:val="24"/>
        </w:rPr>
        <w:t>nockdown of TP53TG1</w:t>
      </w:r>
      <w:r>
        <w:rPr>
          <w:rFonts w:hint="eastAsia"/>
          <w:sz w:val="24"/>
          <w:szCs w:val="24"/>
          <w:lang w:val="en-US" w:eastAsia="zh-CN"/>
        </w:rPr>
        <w:t xml:space="preserve"> induced </w:t>
      </w:r>
      <w:r>
        <w:rPr>
          <w:sz w:val="24"/>
          <w:szCs w:val="24"/>
        </w:rPr>
        <w:t>significant variations of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</w:rPr>
        <w:t xml:space="preserve">Fn1, Collagen 1α1, </w:t>
      </w:r>
      <w:r>
        <w:rPr>
          <w:rFonts w:hint="eastAsia"/>
          <w:sz w:val="24"/>
          <w:szCs w:val="24"/>
          <w:lang w:val="en-US" w:eastAsia="zh-CN"/>
        </w:rPr>
        <w:t>TIMP1</w:t>
      </w:r>
      <w:r>
        <w:rPr>
          <w:sz w:val="24"/>
          <w:szCs w:val="24"/>
        </w:rPr>
        <w:t xml:space="preserve"> mRNA level. </w:t>
      </w:r>
      <w:r>
        <w:rPr>
          <w:rFonts w:hint="eastAsia"/>
          <w:sz w:val="24"/>
          <w:szCs w:val="24"/>
          <w:lang w:val="en-US" w:eastAsia="zh-CN"/>
        </w:rPr>
        <w:t>(c, d) EdU assay and immunofluorescent staining showed that TP53TG1 knockdown induced proliferation</w:t>
      </w:r>
      <w:r>
        <w:rPr>
          <w:rFonts w:ascii="Times New Roman" w:hAnsi="Times New Roman" w:cs="Times New Roman"/>
          <w:sz w:val="24"/>
        </w:rPr>
        <w:t>(bar=50 μm</w:t>
      </w:r>
      <w:r>
        <w:rPr>
          <w:rFonts w:hint="eastAsia" w:cs="Times New Roman"/>
          <w:sz w:val="24"/>
          <w:lang w:val="en-US" w:eastAsia="zh-CN"/>
        </w:rPr>
        <w:t>, n=3</w:t>
      </w:r>
      <w:r>
        <w:rPr>
          <w:rFonts w:ascii="Times New Roman" w:hAnsi="Times New Roman" w:cs="Times New Roman"/>
          <w:sz w:val="24"/>
        </w:rPr>
        <w:t>)</w:t>
      </w:r>
      <w:r>
        <w:rPr>
          <w:rFonts w:hint="eastAsia"/>
          <w:sz w:val="24"/>
          <w:szCs w:val="24"/>
          <w:lang w:val="en-US" w:eastAsia="zh-CN"/>
        </w:rPr>
        <w:t xml:space="preserve"> and differentiation </w:t>
      </w:r>
      <w:r>
        <w:rPr>
          <w:rFonts w:ascii="Times New Roman" w:hAnsi="Times New Roman" w:cs="Times New Roman"/>
          <w:sz w:val="24"/>
        </w:rPr>
        <w:t>(bar=20 μm; n=</w:t>
      </w:r>
      <w:r>
        <w:rPr>
          <w:rFonts w:hint="eastAsia" w:cs="Times New Roman"/>
          <w:sz w:val="24"/>
          <w:lang w:val="en-US" w:eastAsia="zh-CN"/>
        </w:rPr>
        <w:t>3</w:t>
      </w:r>
      <w:r>
        <w:rPr>
          <w:rFonts w:ascii="Times New Roman" w:hAnsi="Times New Roman" w:cs="Times New Roman"/>
          <w:sz w:val="24"/>
        </w:rPr>
        <w:t>)</w:t>
      </w:r>
      <w:r>
        <w:rPr>
          <w:rFonts w:hint="eastAsia"/>
          <w:sz w:val="24"/>
          <w:szCs w:val="24"/>
          <w:lang w:val="en-US" w:eastAsia="zh-CN"/>
        </w:rPr>
        <w:t xml:space="preserve"> of MRC-5 cells</w:t>
      </w:r>
      <w:r>
        <w:rPr>
          <w:rFonts w:ascii="Times New Roman" w:hAnsi="Times New Roman" w:cs="Times New Roman"/>
          <w:sz w:val="24"/>
        </w:rPr>
        <w:t>. *</w:t>
      </w:r>
      <w:r>
        <w:rPr>
          <w:rFonts w:ascii="Times New Roman" w:hAnsi="Times New Roman" w:cs="Times New Roman"/>
          <w:i/>
          <w:iCs/>
          <w:sz w:val="24"/>
        </w:rPr>
        <w:t xml:space="preserve">P </w:t>
      </w:r>
      <w:r>
        <w:rPr>
          <w:rFonts w:ascii="Times New Roman" w:hAnsi="Times New Roman" w:cs="Times New Roman"/>
          <w:sz w:val="24"/>
        </w:rPr>
        <w:t>&lt; 0.05, **</w:t>
      </w:r>
      <w:r>
        <w:rPr>
          <w:rFonts w:ascii="Times New Roman" w:hAnsi="Times New Roman" w:cs="Times New Roman"/>
          <w:i/>
          <w:iCs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&lt; 0.01.</w:t>
      </w:r>
      <w:bookmarkStart w:id="1" w:name="_GoBack"/>
      <w:bookmarkEnd w:id="1"/>
    </w:p>
    <w:p>
      <w:pPr>
        <w:spacing w:line="480" w:lineRule="auto"/>
        <w:rPr>
          <w:rFonts w:hint="default" w:eastAsia="宋体"/>
          <w:sz w:val="24"/>
          <w:szCs w:val="24"/>
          <w:lang w:val="en-US" w:eastAsia="zh-CN"/>
        </w:rPr>
      </w:pPr>
    </w:p>
    <w:p>
      <w:pPr>
        <w:spacing w:line="480" w:lineRule="auto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6183630" cy="6089015"/>
            <wp:effectExtent l="0" t="0" r="7620" b="6985"/>
            <wp:docPr id="2" name="图片 2" descr="figure S3-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3-new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3630" cy="608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</w:pPr>
      <w:r>
        <w:rPr>
          <w:rFonts w:hint="eastAsia"/>
          <w:b/>
          <w:bCs/>
        </w:rPr>
        <w:t xml:space="preserve">Supplementary Fig. 3 TP53TG1 interaction network. </w:t>
      </w:r>
      <w:r>
        <w:rPr>
          <w:rFonts w:hint="eastAsia"/>
        </w:rPr>
        <w:t>(a) TP53TG1 (</w:t>
      </w:r>
      <w:r>
        <w:rPr>
          <w:rFonts w:hint="eastAsia"/>
          <w:lang w:val="en-US" w:eastAsia="zh-CN"/>
        </w:rPr>
        <w:t>yellow</w:t>
      </w:r>
      <w:r>
        <w:rPr>
          <w:rFonts w:hint="eastAsia"/>
        </w:rPr>
        <w:t xml:space="preserve"> oval) w</w:t>
      </w:r>
      <w:r>
        <w:rPr>
          <w:rFonts w:hint="eastAsia"/>
          <w:lang w:val="en-US" w:eastAsia="zh-CN"/>
        </w:rPr>
        <w:t>as</w:t>
      </w:r>
      <w:r>
        <w:rPr>
          <w:rFonts w:hint="eastAsia"/>
        </w:rPr>
        <w:t xml:space="preserve"> linked to other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genes (green oval) through co-expression (black edges), transcriptional regulation (black edges with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arrows) or PPI (blue edges). (b) KEGG pathways enrichment with all TP53TG1 related genes in the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interaction network (top 30). FDR &lt; 0.05, Hypergeometric test. The size of bubble indicates the number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of genes in the corresponding annotation. The color shade corresponds to the -log10 (P-value) value. The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closer the color is to red, the more significant the enrichment is.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PS-Italic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wYjBkMjI3Y2Q4Nzk5ZmUxZjA0NGI0ZDZjMjRiYjEifQ=="/>
  </w:docVars>
  <w:rsids>
    <w:rsidRoot w:val="5B812399"/>
    <w:rsid w:val="00CF1D3D"/>
    <w:rsid w:val="00F84C0E"/>
    <w:rsid w:val="089B03A4"/>
    <w:rsid w:val="09BB2230"/>
    <w:rsid w:val="0F7105E3"/>
    <w:rsid w:val="175778F9"/>
    <w:rsid w:val="1DDF4A1A"/>
    <w:rsid w:val="28116A2F"/>
    <w:rsid w:val="332D4290"/>
    <w:rsid w:val="3B516871"/>
    <w:rsid w:val="47357062"/>
    <w:rsid w:val="47D84ACB"/>
    <w:rsid w:val="48BE440A"/>
    <w:rsid w:val="500B6E55"/>
    <w:rsid w:val="506B19F1"/>
    <w:rsid w:val="596E7641"/>
    <w:rsid w:val="5B812399"/>
    <w:rsid w:val="620802C9"/>
    <w:rsid w:val="678D5B23"/>
    <w:rsid w:val="6B4A0729"/>
    <w:rsid w:val="6E2009A2"/>
    <w:rsid w:val="70381266"/>
    <w:rsid w:val="70BB135B"/>
    <w:rsid w:val="798262EF"/>
    <w:rsid w:val="7EF7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批注框文本 Char"/>
    <w:basedOn w:val="7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眉 Char"/>
    <w:basedOn w:val="7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页脚 Char"/>
    <w:basedOn w:val="7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2">
    <w:name w:val="fontstyle01"/>
    <w:basedOn w:val="7"/>
    <w:qFormat/>
    <w:uiPriority w:val="0"/>
    <w:rPr>
      <w:rFonts w:ascii="TimesNewRomanPS-BoldMT" w:hAnsi="TimesNewRomanPS-BoldMT" w:eastAsia="TimesNewRomanPS-BoldMT" w:cs="TimesNewRomanPS-BoldMT"/>
      <w:b/>
      <w:bCs/>
      <w:color w:val="000000"/>
      <w:sz w:val="24"/>
      <w:szCs w:val="24"/>
    </w:rPr>
  </w:style>
  <w:style w:type="character" w:customStyle="1" w:styleId="13">
    <w:name w:val="fontstyle21"/>
    <w:basedOn w:val="7"/>
    <w:qFormat/>
    <w:uiPriority w:val="0"/>
    <w:rPr>
      <w:rFonts w:ascii="TimesNewRomanPSMT" w:hAnsi="TimesNewRomanPSMT" w:eastAsia="TimesNewRomanPSMT" w:cs="TimesNewRomanPSMT"/>
      <w:color w:val="000000"/>
      <w:sz w:val="24"/>
      <w:szCs w:val="24"/>
    </w:rPr>
  </w:style>
  <w:style w:type="character" w:customStyle="1" w:styleId="14">
    <w:name w:val="fontstyle31"/>
    <w:basedOn w:val="7"/>
    <w:qFormat/>
    <w:uiPriority w:val="0"/>
    <w:rPr>
      <w:rFonts w:ascii="TimesNewRomanPS-ItalicMT" w:hAnsi="TimesNewRomanPS-ItalicMT" w:eastAsia="TimesNewRomanPS-ItalicMT" w:cs="TimesNewRomanPS-ItalicMT"/>
      <w:i/>
      <w:iCs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3.tiff"/><Relationship Id="rId11" Type="http://schemas.openxmlformats.org/officeDocument/2006/relationships/image" Target="media/image2.tiff"/><Relationship Id="rId10" Type="http://schemas.openxmlformats.org/officeDocument/2006/relationships/image" Target="media/image1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257</Words>
  <Characters>1496</Characters>
  <Lines>11</Lines>
  <Paragraphs>3</Paragraphs>
  <TotalTime>30</TotalTime>
  <ScaleCrop>false</ScaleCrop>
  <LinksUpToDate>false</LinksUpToDate>
  <CharactersWithSpaces>1750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2021-10-07T01:00:00Z</dcterms:created>
  <dc:creator>孙小花</dc:creator>
  <cp:lastModifiedBy>Sunj</cp:lastModifiedBy>
  <dcterms:modified xsi:type="dcterms:W3CDTF">2022-05-18T00:43:14Z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7D0ADBFDED9B435ABF907598889E7077</vt:lpwstr>
  </property>
  <property fmtid="{D5CDD505-2E9C-101B-9397-08002B2CF9AE}" pid="4" name="commondata">
    <vt:lpwstr>eyJoZGlkIjoiOTMxY2UxNzRlMGUxYmYzM2MzZjI1Yzk4ZjFjZmM5YTcifQ==</vt:lpwstr>
  </property>
</Properties>
</file>