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Times New Roman" w:hAnsi="Times New Roman" w:cs="Times New Roman"/>
          <w:b/>
          <w:bCs w:val="0"/>
          <w:sz w:val="24"/>
          <w:lang w:val="en-GB"/>
        </w:rPr>
      </w:pPr>
      <w:r>
        <w:rPr>
          <w:rFonts w:hint="eastAsia" w:ascii="Times New Roman" w:hAnsi="Times New Roman" w:cs="Times New Roman"/>
          <w:b/>
          <w:bCs w:val="0"/>
          <w:sz w:val="24"/>
          <w:lang w:val="en-GB"/>
        </w:rPr>
        <w:t>Supplementary methods</w:t>
      </w:r>
    </w:p>
    <w:p>
      <w:pPr>
        <w:spacing w:line="360" w:lineRule="auto"/>
        <w:rPr>
          <w:rFonts w:hint="eastAsia" w:ascii="Times New Roman" w:hAnsi="Times New Roman" w:cs="Times New Roman"/>
          <w:b/>
          <w:bCs w:val="0"/>
          <w:color w:val="FF0000"/>
          <w:sz w:val="24"/>
          <w:lang w:val="en-GB"/>
        </w:rPr>
      </w:pPr>
      <w:r>
        <w:rPr>
          <w:rFonts w:hint="eastAsia" w:ascii="Times New Roman" w:hAnsi="Times New Roman" w:cs="Times New Roman"/>
          <w:b/>
          <w:bCs/>
          <w:sz w:val="24"/>
          <w:lang w:val="en-US" w:eastAsia="zh-CN"/>
        </w:rPr>
        <w:t>Supplementary table 1:</w:t>
      </w:r>
      <w:r>
        <w:rPr>
          <w:rFonts w:hint="eastAsia" w:ascii="Times New Roman" w:hAnsi="Times New Roman" w:cs="Times New Roman"/>
          <w:b/>
          <w:bCs w:val="0"/>
          <w:color w:val="000000" w:themeColor="text1"/>
          <w:sz w:val="24"/>
          <w:lang w:val="en-GB"/>
          <w14:textFill>
            <w14:solidFill>
              <w14:schemeClr w14:val="tx1"/>
            </w14:solidFill>
          </w14:textFill>
        </w:rPr>
        <w:t>Antibodies information</w:t>
      </w:r>
    </w:p>
    <w:tbl>
      <w:tblPr>
        <w:tblStyle w:val="4"/>
        <w:tblpPr w:leftFromText="180" w:rightFromText="180" w:vertAnchor="text" w:horzAnchor="page" w:tblpX="1863" w:tblpY="69"/>
        <w:tblOverlap w:val="never"/>
        <w:tblW w:w="4886" w:type="pct"/>
        <w:tblInd w:w="0"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60"/>
        <w:gridCol w:w="3325"/>
        <w:gridCol w:w="3244"/>
      </w:tblGrid>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056" w:type="pct"/>
            <w:tcBorders>
              <w:top w:val="single" w:color="auto" w:sz="4" w:space="0"/>
              <w:bottom w:val="single" w:color="auto" w:sz="4" w:space="0"/>
            </w:tcBorders>
            <w:shd w:val="clear" w:color="auto" w:fill="auto"/>
          </w:tcPr>
          <w:p>
            <w:pPr>
              <w:jc w:val="cente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Proteins</w:t>
            </w:r>
          </w:p>
        </w:tc>
        <w:tc>
          <w:tcPr>
            <w:tcW w:w="1996" w:type="pct"/>
            <w:tcBorders>
              <w:top w:val="single" w:color="auto" w:sz="4" w:space="0"/>
              <w:bottom w:val="single" w:color="auto" w:sz="4" w:space="0"/>
            </w:tcBorders>
            <w:shd w:val="clear" w:color="auto" w:fill="auto"/>
          </w:tcPr>
          <w:p>
            <w:pPr>
              <w:jc w:val="center"/>
              <w:rPr>
                <w:rFonts w:hint="default" w:ascii="Times New Roman" w:hAnsi="Times New Roman" w:eastAsia="宋体" w:cs="Times New Roman"/>
                <w:b w:val="0"/>
                <w:bCs w:val="0"/>
                <w:color w:val="000000" w:themeColor="text1"/>
                <w:sz w:val="24"/>
                <w:szCs w:val="24"/>
                <w14:textFill>
                  <w14:solidFill>
                    <w14:schemeClr w14:val="tx1"/>
                  </w14:solidFill>
                </w14:textFill>
              </w:rPr>
            </w:pPr>
            <w:r>
              <w:rPr>
                <w:rFonts w:hint="default" w:ascii="Times New Roman" w:hAnsi="Times New Roman" w:eastAsia="宋体" w:cs="Times New Roman"/>
                <w:b w:val="0"/>
                <w:bCs w:val="0"/>
                <w:color w:val="000000" w:themeColor="text1"/>
                <w:sz w:val="24"/>
                <w:szCs w:val="24"/>
                <w14:textFill>
                  <w14:solidFill>
                    <w14:schemeClr w14:val="tx1"/>
                  </w14:solidFill>
                </w14:textFill>
              </w:rPr>
              <w:t>Manufacturer</w:t>
            </w:r>
          </w:p>
        </w:tc>
        <w:tc>
          <w:tcPr>
            <w:tcW w:w="1947" w:type="pct"/>
            <w:tcBorders>
              <w:top w:val="single" w:color="auto" w:sz="4" w:space="0"/>
              <w:bottom w:val="single" w:color="auto" w:sz="4" w:space="0"/>
            </w:tcBorders>
            <w:shd w:val="clear" w:color="auto" w:fill="auto"/>
          </w:tcPr>
          <w:p>
            <w:pPr>
              <w:jc w:val="center"/>
              <w:rPr>
                <w:rFonts w:hint="default" w:ascii="Times New Roman" w:hAnsi="Times New Roman" w:eastAsia="宋体" w:cs="Times New Roman"/>
                <w:b w:val="0"/>
                <w:bCs w:val="0"/>
                <w:color w:val="000000" w:themeColor="text1"/>
                <w:sz w:val="24"/>
                <w:szCs w:val="24"/>
                <w14:textFill>
                  <w14:solidFill>
                    <w14:schemeClr w14:val="tx1"/>
                  </w14:solidFill>
                </w14:textFill>
              </w:rPr>
            </w:pPr>
            <w:r>
              <w:rPr>
                <w:rFonts w:hint="default" w:ascii="Times New Roman" w:hAnsi="Times New Roman" w:eastAsia="宋体" w:cs="Times New Roman"/>
                <w:b w:val="0"/>
                <w:bCs w:val="0"/>
                <w:color w:val="000000" w:themeColor="text1"/>
                <w:sz w:val="24"/>
                <w:szCs w:val="24"/>
                <w14:textFill>
                  <w14:solidFill>
                    <w14:schemeClr w14:val="tx1"/>
                  </w14:solidFill>
                </w14:textFill>
              </w:rPr>
              <w:t>Cat.</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1056" w:type="pct"/>
            <w:tcBorders>
              <w:top w:val="single" w:color="auto" w:sz="4" w:space="0"/>
            </w:tcBorders>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S100A11</w:t>
            </w:r>
          </w:p>
        </w:tc>
        <w:tc>
          <w:tcPr>
            <w:tcW w:w="1996" w:type="pct"/>
            <w:tcBorders>
              <w:top w:val="single" w:color="auto" w:sz="4" w:space="0"/>
            </w:tcBorders>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Proteintech</w:t>
            </w:r>
          </w:p>
        </w:tc>
        <w:tc>
          <w:tcPr>
            <w:tcW w:w="1947" w:type="pct"/>
            <w:tcBorders>
              <w:top w:val="single" w:color="auto" w:sz="4" w:space="0"/>
            </w:tcBorders>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10237-1-AP</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056" w:type="pct"/>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SMYD3</w:t>
            </w:r>
          </w:p>
        </w:tc>
        <w:tc>
          <w:tcPr>
            <w:tcW w:w="1996"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Proteintech</w:t>
            </w:r>
          </w:p>
        </w:tc>
        <w:tc>
          <w:tcPr>
            <w:tcW w:w="1947"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66330-1-Ig</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056" w:type="pct"/>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TKT</w:t>
            </w:r>
          </w:p>
        </w:tc>
        <w:tc>
          <w:tcPr>
            <w:tcW w:w="1996"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Proteintech</w:t>
            </w:r>
          </w:p>
        </w:tc>
        <w:tc>
          <w:tcPr>
            <w:tcW w:w="1947"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11039-1-AP</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056" w:type="pct"/>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H3K4Me3</w:t>
            </w:r>
          </w:p>
        </w:tc>
        <w:tc>
          <w:tcPr>
            <w:tcW w:w="1996" w:type="pct"/>
            <w:shd w:val="clear" w:color="auto" w:fill="auto"/>
          </w:tcPr>
          <w:p>
            <w:pP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Thermo</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Fisher</w:t>
            </w:r>
          </w:p>
        </w:tc>
        <w:tc>
          <w:tcPr>
            <w:tcW w:w="1947"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711958</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056" w:type="pct"/>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Flag</w:t>
            </w:r>
          </w:p>
        </w:tc>
        <w:tc>
          <w:tcPr>
            <w:tcW w:w="1996" w:type="pct"/>
            <w:shd w:val="clear" w:color="auto" w:fill="auto"/>
          </w:tcPr>
          <w:p>
            <w:pPr>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CST</w:t>
            </w:r>
          </w:p>
        </w:tc>
        <w:tc>
          <w:tcPr>
            <w:tcW w:w="1947"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86861</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056" w:type="pct"/>
            <w:shd w:val="clear" w:color="auto" w:fill="auto"/>
          </w:tcPr>
          <w:p>
            <w:pPr>
              <w:rPr>
                <w:rFonts w:hint="default" w:ascii="Times New Roman" w:hAnsi="Times New Roman" w:eastAsia="宋体" w:cs="Times New Roman"/>
                <w:b w:val="0"/>
                <w:bCs w:val="0"/>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H3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lang w:val="en-GB"/>
                <w14:textFill>
                  <w14:solidFill>
                    <w14:schemeClr w14:val="tx1"/>
                  </w14:solidFill>
                </w14:textFill>
              </w:rPr>
              <w:t xml:space="preserve">histone </w:t>
            </w:r>
          </w:p>
        </w:tc>
        <w:tc>
          <w:tcPr>
            <w:tcW w:w="1996"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CST</w:t>
            </w:r>
          </w:p>
        </w:tc>
        <w:tc>
          <w:tcPr>
            <w:tcW w:w="1947"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9715</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056" w:type="pct"/>
            <w:shd w:val="clear" w:color="auto" w:fill="auto"/>
          </w:tcPr>
          <w:p>
            <w:pPr>
              <w:rPr>
                <w:rFonts w:hint="default" w:ascii="Times New Roman" w:hAnsi="Times New Roman" w:eastAsia="宋体" w:cs="Times New Roman"/>
                <w:b w:val="0"/>
                <w:bCs w:val="0"/>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 xml:space="preserve">GAPDH </w:t>
            </w:r>
          </w:p>
        </w:tc>
        <w:tc>
          <w:tcPr>
            <w:tcW w:w="1996"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Abcam</w:t>
            </w:r>
          </w:p>
        </w:tc>
        <w:tc>
          <w:tcPr>
            <w:tcW w:w="1947"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ab</w:t>
            </w:r>
            <w:r>
              <w:rPr>
                <w:rFonts w:hint="default" w:ascii="Times New Roman" w:hAnsi="Times New Roman" w:eastAsia="宋体" w:cs="Times New Roman"/>
                <w:color w:val="000000" w:themeColor="text1"/>
                <w:sz w:val="24"/>
                <w:szCs w:val="24"/>
                <w14:textFill>
                  <w14:solidFill>
                    <w14:schemeClr w14:val="tx1"/>
                  </w14:solidFill>
                </w14:textFill>
              </w:rPr>
              <w:t xml:space="preserve">9485 </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056" w:type="pct"/>
            <w:shd w:val="clear" w:color="auto" w:fill="auto"/>
          </w:tcPr>
          <w:p>
            <w:pP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H3ac</w:t>
            </w:r>
          </w:p>
        </w:tc>
        <w:tc>
          <w:tcPr>
            <w:tcW w:w="1996" w:type="pct"/>
            <w:shd w:val="clear" w:color="auto" w:fill="auto"/>
          </w:tcPr>
          <w:p>
            <w:pPr>
              <w:rPr>
                <w:rFonts w:hint="default" w:ascii="Times New Roman" w:hAnsi="Times New Roman" w:eastAsia="宋体" w:cs="Times New Roman"/>
                <w:color w:val="000000" w:themeColor="text1"/>
                <w:sz w:val="24"/>
                <w:szCs w:val="24"/>
                <w:lang w:val="en-GB"/>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Thermo</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Fisher</w:t>
            </w:r>
          </w:p>
        </w:tc>
        <w:tc>
          <w:tcPr>
            <w:tcW w:w="1947" w:type="pct"/>
            <w:shd w:val="clear" w:color="auto" w:fill="auto"/>
          </w:tcPr>
          <w:p>
            <w:pPr>
              <w:rPr>
                <w:rFonts w:hint="default" w:ascii="Times New Roman" w:hAnsi="Times New Roman" w:eastAsia="宋体" w:cs="Times New Roman"/>
                <w:color w:val="000000" w:themeColor="text1"/>
                <w:sz w:val="24"/>
                <w:szCs w:val="24"/>
                <w:lang w:val="en-GB"/>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PA5-114693</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056" w:type="pct"/>
            <w:shd w:val="clear" w:color="auto" w:fill="auto"/>
          </w:tcPr>
          <w:p>
            <w:pP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H4ac</w:t>
            </w:r>
          </w:p>
        </w:tc>
        <w:tc>
          <w:tcPr>
            <w:tcW w:w="1996" w:type="pct"/>
            <w:shd w:val="clear" w:color="auto" w:fill="auto"/>
          </w:tcPr>
          <w:p>
            <w:pPr>
              <w:rPr>
                <w:rFonts w:hint="default" w:ascii="Times New Roman" w:hAnsi="Times New Roman" w:eastAsia="宋体" w:cs="Times New Roman"/>
                <w:color w:val="000000" w:themeColor="text1"/>
                <w:sz w:val="24"/>
                <w:szCs w:val="24"/>
                <w:lang w:val="en-GB"/>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Thermo</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Fisher</w:t>
            </w:r>
          </w:p>
        </w:tc>
        <w:tc>
          <w:tcPr>
            <w:tcW w:w="1947" w:type="pct"/>
            <w:shd w:val="clear" w:color="auto" w:fill="auto"/>
          </w:tcPr>
          <w:p>
            <w:pPr>
              <w:rPr>
                <w:rFonts w:hint="default" w:ascii="Times New Roman" w:hAnsi="Times New Roman" w:eastAsia="宋体" w:cs="Times New Roman"/>
                <w:color w:val="000000" w:themeColor="text1"/>
                <w:sz w:val="24"/>
                <w:szCs w:val="24"/>
                <w:lang w:val="en-GB"/>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PA5-40083</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056" w:type="pct"/>
            <w:shd w:val="clear" w:color="auto" w:fill="auto"/>
          </w:tcPr>
          <w:p>
            <w:pP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IgG</w:t>
            </w:r>
          </w:p>
        </w:tc>
        <w:tc>
          <w:tcPr>
            <w:tcW w:w="1996" w:type="pct"/>
            <w:shd w:val="clear" w:color="auto" w:fill="auto"/>
          </w:tcPr>
          <w:p>
            <w:pPr>
              <w:rPr>
                <w:rFonts w:hint="default" w:ascii="Times New Roman" w:hAnsi="Times New Roman" w:eastAsia="宋体" w:cs="Times New Roman"/>
                <w:color w:val="000000" w:themeColor="text1"/>
                <w:sz w:val="24"/>
                <w:szCs w:val="24"/>
                <w:lang w:val="en-GB"/>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CST</w:t>
            </w:r>
          </w:p>
        </w:tc>
        <w:tc>
          <w:tcPr>
            <w:tcW w:w="1947" w:type="pct"/>
            <w:shd w:val="clear" w:color="auto" w:fill="auto"/>
          </w:tcPr>
          <w:p>
            <w:pP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2729</w:t>
            </w:r>
          </w:p>
        </w:tc>
      </w:tr>
    </w:tbl>
    <w:p>
      <w:pPr>
        <w:spacing w:line="360" w:lineRule="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Supplementary table 2:</w:t>
      </w:r>
      <w:r>
        <w:rPr>
          <w:rFonts w:hint="eastAsia" w:ascii="Times New Roman" w:hAnsi="Times New Roman" w:eastAsia="宋体" w:cs="Times New Roman"/>
          <w:b/>
          <w:bCs/>
          <w:sz w:val="24"/>
          <w:szCs w:val="24"/>
          <w:lang w:val="en-US" w:eastAsia="zh-CN"/>
        </w:rPr>
        <w:t xml:space="preserve"> </w:t>
      </w:r>
      <w:r>
        <w:rPr>
          <w:rFonts w:hint="eastAsia" w:ascii="Times New Roman" w:hAnsi="Times New Roman" w:cs="Times New Roman"/>
          <w:b/>
          <w:bCs/>
          <w:sz w:val="24"/>
          <w:lang w:val="en-GB"/>
        </w:rPr>
        <w:t xml:space="preserve">S100A11 CRISPR/Cas9 </w:t>
      </w:r>
      <w:r>
        <w:rPr>
          <w:rFonts w:hint="eastAsia" w:ascii="Times New Roman" w:hAnsi="Times New Roman" w:cs="Times New Roman"/>
          <w:b/>
          <w:bCs/>
          <w:sz w:val="24"/>
          <w:lang w:val="en-US" w:eastAsia="zh-CN"/>
        </w:rPr>
        <w:t xml:space="preserve">knockdown and negative control </w:t>
      </w:r>
      <w:r>
        <w:rPr>
          <w:rFonts w:hint="eastAsia" w:ascii="Times New Roman" w:hAnsi="Times New Roman" w:cs="Times New Roman"/>
          <w:b/>
          <w:bCs/>
          <w:sz w:val="24"/>
          <w:lang w:val="en-GB"/>
        </w:rPr>
        <w:t xml:space="preserve">lentivirus </w:t>
      </w:r>
      <w:r>
        <w:rPr>
          <w:rFonts w:hint="eastAsia" w:ascii="Times New Roman" w:hAnsi="Times New Roman" w:cs="Times New Roman"/>
          <w:b/>
          <w:bCs/>
          <w:sz w:val="24"/>
          <w:lang w:val="en-US" w:eastAsia="zh-CN"/>
        </w:rPr>
        <w:t>sequences and p</w:t>
      </w:r>
      <w:r>
        <w:rPr>
          <w:rFonts w:hint="default" w:ascii="Times New Roman" w:hAnsi="Times New Roman" w:eastAsia="宋体" w:cs="Times New Roman"/>
          <w:b/>
          <w:bCs/>
          <w:sz w:val="24"/>
          <w:szCs w:val="24"/>
          <w:lang w:val="en-US" w:eastAsia="zh-CN"/>
        </w:rPr>
        <w:t>rimers</w:t>
      </w:r>
    </w:p>
    <w:tbl>
      <w:tblPr>
        <w:tblStyle w:val="4"/>
        <w:tblW w:w="4994" w:type="pct"/>
        <w:tblInd w:w="0"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7"/>
        <w:gridCol w:w="1950"/>
        <w:gridCol w:w="4575"/>
      </w:tblGrid>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7" w:type="pct"/>
            <w:tcBorders>
              <w:top w:val="single" w:color="auto" w:sz="4" w:space="0"/>
              <w:bottom w:val="single" w:color="auto" w:sz="4" w:space="0"/>
            </w:tcBorders>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bookmarkStart w:id="0" w:name="OLE_LINK1"/>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Gene</w:t>
            </w:r>
          </w:p>
        </w:tc>
        <w:tc>
          <w:tcPr>
            <w:tcW w:w="1145" w:type="pct"/>
            <w:tcBorders>
              <w:top w:val="single" w:color="auto" w:sz="4" w:space="0"/>
              <w:bottom w:val="single" w:color="auto" w:sz="4" w:space="0"/>
            </w:tcBorders>
            <w:shd w:val="clear" w:color="auto" w:fill="auto"/>
          </w:tcPr>
          <w:p>
            <w:pPr>
              <w:rPr>
                <w:rFonts w:hint="default" w:ascii="Times New Roman" w:hAnsi="Times New Roman" w:eastAsia="宋体" w:cs="Times New Roman"/>
                <w:b w:val="0"/>
                <w:bCs w:val="0"/>
                <w:color w:val="000000" w:themeColor="text1"/>
                <w:sz w:val="24"/>
                <w:szCs w:val="24"/>
                <w14:textFill>
                  <w14:solidFill>
                    <w14:schemeClr w14:val="tx1"/>
                  </w14:solidFill>
                </w14:textFill>
              </w:rPr>
            </w:pPr>
          </w:p>
        </w:tc>
        <w:tc>
          <w:tcPr>
            <w:tcW w:w="2687" w:type="pct"/>
            <w:tcBorders>
              <w:top w:val="single" w:color="auto" w:sz="4" w:space="0"/>
              <w:bottom w:val="single" w:color="auto" w:sz="4" w:space="0"/>
            </w:tcBorders>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Sequence</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7" w:type="pct"/>
            <w:vMerge w:val="restart"/>
            <w:tcBorders>
              <w:top w:val="single" w:color="auto" w:sz="4" w:space="0"/>
            </w:tcBorders>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S100A11</w:t>
            </w:r>
          </w:p>
        </w:tc>
        <w:tc>
          <w:tcPr>
            <w:tcW w:w="1145" w:type="pct"/>
            <w:tcBorders>
              <w:top w:val="single" w:color="auto" w:sz="4" w:space="0"/>
            </w:tcBorders>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trike w:val="0"/>
                <w:dstrike w:val="0"/>
                <w:color w:val="000000" w:themeColor="text1"/>
                <w:sz w:val="24"/>
                <w:szCs w:val="24"/>
                <w:lang w:val="en-US" w:eastAsia="zh-CN"/>
                <w14:textFill>
                  <w14:solidFill>
                    <w14:schemeClr w14:val="tx1"/>
                  </w14:solidFill>
                </w14:textFill>
              </w:rPr>
              <w:t>Negative control</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 xml:space="preserve"> </w:t>
            </w:r>
          </w:p>
        </w:tc>
        <w:tc>
          <w:tcPr>
            <w:tcW w:w="2687" w:type="pct"/>
            <w:tcBorders>
              <w:top w:val="single" w:color="auto" w:sz="4" w:space="0"/>
            </w:tcBorders>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trike w:val="0"/>
                <w:dstrike w:val="0"/>
                <w:color w:val="000000" w:themeColor="text1"/>
                <w:sz w:val="24"/>
                <w:szCs w:val="24"/>
                <w14:textFill>
                  <w14:solidFill>
                    <w14:schemeClr w14:val="tx1"/>
                  </w14:solidFill>
                </w14:textFill>
              </w:rPr>
              <w:t>ACTGAGCGGTGCATCGAGTC</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7" w:type="pct"/>
            <w:vMerge w:val="continue"/>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p>
        </w:tc>
        <w:tc>
          <w:tcPr>
            <w:tcW w:w="1145" w:type="pct"/>
            <w:shd w:val="clear" w:color="auto" w:fill="auto"/>
            <w:vAlign w:val="top"/>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trike w:val="0"/>
                <w:dstrike w:val="0"/>
                <w:color w:val="000000" w:themeColor="text1"/>
                <w:sz w:val="24"/>
                <w:szCs w:val="24"/>
                <w14:textFill>
                  <w14:solidFill>
                    <w14:schemeClr w14:val="tx1"/>
                  </w14:solidFill>
                </w14:textFill>
              </w:rPr>
              <w:t xml:space="preserve">gRNA#1 </w:t>
            </w:r>
          </w:p>
        </w:tc>
        <w:tc>
          <w:tcPr>
            <w:tcW w:w="2687" w:type="pct"/>
            <w:shd w:val="clear" w:color="auto" w:fill="auto"/>
            <w:vAlign w:val="top"/>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trike w:val="0"/>
                <w:dstrike w:val="0"/>
                <w:color w:val="000000" w:themeColor="text1"/>
                <w:sz w:val="24"/>
                <w:szCs w:val="24"/>
                <w14:textFill>
                  <w14:solidFill>
                    <w14:schemeClr w14:val="tx1"/>
                  </w14:solidFill>
                </w14:textFill>
              </w:rPr>
              <w:t>ACTGAGCGGTGCATCGAGTC</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7" w:type="pct"/>
            <w:vMerge w:val="continue"/>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p>
        </w:tc>
        <w:tc>
          <w:tcPr>
            <w:tcW w:w="1145"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trike w:val="0"/>
                <w:dstrike w:val="0"/>
                <w:color w:val="000000" w:themeColor="text1"/>
                <w:sz w:val="24"/>
                <w:szCs w:val="24"/>
                <w14:textFill>
                  <w14:solidFill>
                    <w14:schemeClr w14:val="tx1"/>
                  </w14:solidFill>
                </w14:textFill>
              </w:rPr>
              <w:t>gRNA#</w:t>
            </w:r>
            <w:r>
              <w:rPr>
                <w:rFonts w:hint="default" w:ascii="Times New Roman" w:hAnsi="Times New Roman" w:eastAsia="宋体" w:cs="Times New Roman"/>
                <w:strike w:val="0"/>
                <w:dstrike w:val="0"/>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 xml:space="preserve"> </w:t>
            </w:r>
          </w:p>
        </w:tc>
        <w:tc>
          <w:tcPr>
            <w:tcW w:w="2687"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trike w:val="0"/>
                <w:dstrike w:val="0"/>
                <w:color w:val="000000" w:themeColor="text1"/>
                <w:sz w:val="24"/>
                <w:szCs w:val="24"/>
                <w14:textFill>
                  <w14:solidFill>
                    <w14:schemeClr w14:val="tx1"/>
                  </w14:solidFill>
                </w14:textFill>
              </w:rPr>
              <w:t>GCTGTCTTCCAGAAGTATGC</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7" w:type="pct"/>
            <w:vMerge w:val="continue"/>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p>
        </w:tc>
        <w:tc>
          <w:tcPr>
            <w:tcW w:w="1145" w:type="pct"/>
            <w:shd w:val="clear" w:color="auto" w:fill="auto"/>
          </w:tcPr>
          <w:p>
            <w:pP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strike w:val="0"/>
                <w:dstrike w:val="0"/>
                <w:color w:val="000000" w:themeColor="text1"/>
                <w:sz w:val="24"/>
                <w:szCs w:val="24"/>
                <w14:textFill>
                  <w14:solidFill>
                    <w14:schemeClr w14:val="tx1"/>
                  </w14:solidFill>
                </w14:textFill>
              </w:rPr>
              <w:t>gRNA#</w:t>
            </w:r>
            <w:r>
              <w:rPr>
                <w:rFonts w:hint="default" w:ascii="Times New Roman" w:hAnsi="Times New Roman" w:eastAsia="宋体" w:cs="Times New Roman"/>
                <w:strike w:val="0"/>
                <w:dstrike w:val="0"/>
                <w:color w:val="000000" w:themeColor="text1"/>
                <w:sz w:val="24"/>
                <w:szCs w:val="24"/>
                <w:lang w:val="en-US" w:eastAsia="zh-CN"/>
                <w14:textFill>
                  <w14:solidFill>
                    <w14:schemeClr w14:val="tx1"/>
                  </w14:solidFill>
                </w14:textFill>
              </w:rPr>
              <w:t>3</w:t>
            </w:r>
          </w:p>
        </w:tc>
        <w:tc>
          <w:tcPr>
            <w:tcW w:w="2687"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trike w:val="0"/>
                <w:dstrike w:val="0"/>
                <w:color w:val="000000" w:themeColor="text1"/>
                <w:sz w:val="24"/>
                <w:szCs w:val="24"/>
                <w14:textFill>
                  <w14:solidFill>
                    <w14:schemeClr w14:val="tx1"/>
                  </w14:solidFill>
                </w14:textFill>
              </w:rPr>
              <w:t>AGACAGAGTTCCTAAGCTTC</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7" w:type="pct"/>
            <w:vMerge w:val="restart"/>
            <w:shd w:val="clear" w:color="auto" w:fill="auto"/>
          </w:tcPr>
          <w:p>
            <w:pPr>
              <w:rPr>
                <w:rFonts w:hint="default" w:ascii="Times New Roman" w:hAnsi="Times New Roman" w:eastAsia="宋体" w:cs="Times New Roman"/>
                <w:b w:val="0"/>
                <w:bCs w:val="0"/>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 xml:space="preserve">S100A11 </w:t>
            </w:r>
            <w:r>
              <w:rPr>
                <w:rFonts w:hint="default" w:ascii="Times New Roman" w:hAnsi="Times New Roman" w:eastAsia="宋体" w:cs="Times New Roman"/>
                <w:color w:val="000000" w:themeColor="text1"/>
                <w:sz w:val="24"/>
                <w:szCs w:val="24"/>
                <w:lang w:val="en-GB"/>
                <w14:textFill>
                  <w14:solidFill>
                    <w14:schemeClr w14:val="tx1"/>
                  </w14:solidFill>
                </w14:textFill>
              </w:rPr>
              <w:t xml:space="preserve">primer  </w:t>
            </w:r>
          </w:p>
        </w:tc>
        <w:tc>
          <w:tcPr>
            <w:tcW w:w="1145" w:type="pct"/>
            <w:shd w:val="clear" w:color="auto" w:fill="auto"/>
          </w:tcPr>
          <w:p>
            <w:pPr>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f</w:t>
            </w:r>
            <w:r>
              <w:rPr>
                <w:rFonts w:hint="default" w:ascii="Times New Roman" w:hAnsi="Times New Roman" w:eastAsia="宋体" w:cs="Times New Roman"/>
                <w:color w:val="000000" w:themeColor="text1"/>
                <w:sz w:val="24"/>
                <w:szCs w:val="24"/>
                <w:lang w:val="en-GB"/>
                <w14:textFill>
                  <w14:solidFill>
                    <w14:schemeClr w14:val="tx1"/>
                  </w14:solidFill>
                </w14:textFill>
              </w:rPr>
              <w:t>orward</w:t>
            </w:r>
          </w:p>
        </w:tc>
        <w:tc>
          <w:tcPr>
            <w:tcW w:w="2687"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TCCAAGACAGAGTTCCTAAG</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7" w:type="pct"/>
            <w:vMerge w:val="continue"/>
            <w:shd w:val="clear" w:color="auto" w:fill="auto"/>
          </w:tcPr>
          <w:p>
            <w:pPr>
              <w:rPr>
                <w:rFonts w:hint="default" w:ascii="Times New Roman" w:hAnsi="Times New Roman" w:eastAsia="宋体" w:cs="Times New Roman"/>
                <w:b w:val="0"/>
                <w:bCs w:val="0"/>
                <w:color w:val="000000" w:themeColor="text1"/>
                <w:sz w:val="24"/>
                <w:szCs w:val="24"/>
                <w14:textFill>
                  <w14:solidFill>
                    <w14:schemeClr w14:val="tx1"/>
                  </w14:solidFill>
                </w14:textFill>
              </w:rPr>
            </w:pPr>
          </w:p>
        </w:tc>
        <w:tc>
          <w:tcPr>
            <w:tcW w:w="1145"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reverse</w:t>
            </w:r>
          </w:p>
        </w:tc>
        <w:tc>
          <w:tcPr>
            <w:tcW w:w="2687"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AGGCCACCAATCAGATTAAG</w:t>
            </w:r>
          </w:p>
        </w:tc>
      </w:tr>
      <w:bookmarkEnd w:id="0"/>
    </w:tbl>
    <w:p>
      <w:pPr>
        <w:spacing w:line="360" w:lineRule="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Supplementary table 3: Primers used to amplify the TKT promoter</w:t>
      </w:r>
    </w:p>
    <w:tbl>
      <w:tblPr>
        <w:tblStyle w:val="4"/>
        <w:tblW w:w="4998" w:type="pct"/>
        <w:tblInd w:w="0"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87"/>
        <w:gridCol w:w="1951"/>
        <w:gridCol w:w="4581"/>
      </w:tblGrid>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6" w:type="pct"/>
            <w:tcBorders>
              <w:top w:val="single" w:color="auto" w:sz="4" w:space="0"/>
              <w:bottom w:val="single" w:color="auto" w:sz="4" w:space="0"/>
            </w:tcBorders>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Region</w:t>
            </w:r>
          </w:p>
        </w:tc>
        <w:tc>
          <w:tcPr>
            <w:tcW w:w="1145" w:type="pct"/>
            <w:tcBorders>
              <w:top w:val="single" w:color="auto" w:sz="4" w:space="0"/>
              <w:bottom w:val="single" w:color="auto" w:sz="4" w:space="0"/>
            </w:tcBorders>
            <w:shd w:val="clear" w:color="auto" w:fill="auto"/>
          </w:tcPr>
          <w:p>
            <w:pPr>
              <w:rPr>
                <w:rFonts w:hint="default" w:ascii="Times New Roman" w:hAnsi="Times New Roman" w:eastAsia="宋体" w:cs="Times New Roman"/>
                <w:b w:val="0"/>
                <w:bCs w:val="0"/>
                <w:color w:val="000000" w:themeColor="text1"/>
                <w:sz w:val="24"/>
                <w:szCs w:val="24"/>
                <w14:textFill>
                  <w14:solidFill>
                    <w14:schemeClr w14:val="tx1"/>
                  </w14:solidFill>
                </w14:textFill>
              </w:rPr>
            </w:pPr>
          </w:p>
        </w:tc>
        <w:tc>
          <w:tcPr>
            <w:tcW w:w="2688" w:type="pct"/>
            <w:tcBorders>
              <w:top w:val="single" w:color="auto" w:sz="4" w:space="0"/>
              <w:bottom w:val="single" w:color="auto" w:sz="4" w:space="0"/>
            </w:tcBorders>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Sequence</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6" w:type="pct"/>
            <w:vMerge w:val="restart"/>
            <w:tcBorders>
              <w:top w:val="single" w:color="auto" w:sz="4" w:space="0"/>
            </w:tcBorders>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-268/+77</w:t>
            </w:r>
          </w:p>
        </w:tc>
        <w:tc>
          <w:tcPr>
            <w:tcW w:w="1145" w:type="pct"/>
            <w:tcBorders>
              <w:top w:val="single" w:color="auto" w:sz="4" w:space="0"/>
            </w:tcBorders>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trike w:val="0"/>
                <w:dstrike w:val="0"/>
                <w:color w:val="000000" w:themeColor="text1"/>
                <w:sz w:val="24"/>
                <w:szCs w:val="24"/>
                <w:lang w:val="en-US" w:eastAsia="zh-CN"/>
                <w14:textFill>
                  <w14:solidFill>
                    <w14:schemeClr w14:val="tx1"/>
                  </w14:solidFill>
                </w14:textFill>
              </w:rPr>
              <w:t>forward</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 xml:space="preserve"> </w:t>
            </w:r>
          </w:p>
        </w:tc>
        <w:tc>
          <w:tcPr>
            <w:tcW w:w="2688" w:type="pct"/>
            <w:tcBorders>
              <w:top w:val="single" w:color="auto" w:sz="4" w:space="0"/>
            </w:tcBorders>
            <w:shd w:val="clear" w:color="auto" w:fill="auto"/>
          </w:tcPr>
          <w:p>
            <w:pP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5’-CAAGTCCACGGAGGACTGTG-3’</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6" w:type="pct"/>
            <w:vMerge w:val="continue"/>
            <w:shd w:val="clear" w:color="auto" w:fill="auto"/>
          </w:tcPr>
          <w:p>
            <w:pP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p>
        </w:tc>
        <w:tc>
          <w:tcPr>
            <w:tcW w:w="1145" w:type="pct"/>
            <w:shd w:val="clear" w:color="auto" w:fill="auto"/>
            <w:vAlign w:val="top"/>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trike w:val="0"/>
                <w:dstrike w:val="0"/>
                <w:color w:val="000000" w:themeColor="text1"/>
                <w:sz w:val="24"/>
                <w:szCs w:val="24"/>
                <w:lang w:val="en-US" w:eastAsia="zh-CN"/>
                <w14:textFill>
                  <w14:solidFill>
                    <w14:schemeClr w14:val="tx1"/>
                  </w14:solidFill>
                </w14:textFill>
              </w:rPr>
              <w:t>reverse</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 xml:space="preserve"> </w:t>
            </w:r>
          </w:p>
        </w:tc>
        <w:tc>
          <w:tcPr>
            <w:tcW w:w="2688" w:type="pct"/>
            <w:shd w:val="clear" w:color="auto" w:fill="auto"/>
            <w:vAlign w:val="top"/>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5’-ACACACACAGAGATAGCGGCTG-3’</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6" w:type="pct"/>
            <w:vMerge w:val="restart"/>
            <w:shd w:val="clear" w:color="auto" w:fill="auto"/>
          </w:tcPr>
          <w:p>
            <w:pPr>
              <w:rPr>
                <w:rFonts w:hint="default" w:ascii="Times New Roman" w:hAnsi="Times New Roman" w:eastAsia="宋体" w:cs="Times New Roman"/>
                <w:b w:val="0"/>
                <w:bCs w:val="0"/>
                <w:color w:val="000000" w:themeColor="text1"/>
                <w:sz w:val="24"/>
                <w:szCs w:val="24"/>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-521/-249</w:t>
            </w:r>
            <w:r>
              <w:rPr>
                <w:rFonts w:hint="default" w:ascii="Times New Roman" w:hAnsi="Times New Roman" w:eastAsia="宋体" w:cs="Times New Roman"/>
                <w:color w:val="FF0000"/>
                <w:sz w:val="24"/>
                <w:szCs w:val="24"/>
                <w:lang w:val="en-GB"/>
              </w:rPr>
              <w:t xml:space="preserve"> </w:t>
            </w:r>
          </w:p>
        </w:tc>
        <w:tc>
          <w:tcPr>
            <w:tcW w:w="1145" w:type="pct"/>
            <w:shd w:val="clear" w:color="auto" w:fill="auto"/>
          </w:tcPr>
          <w:p>
            <w:pPr>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f</w:t>
            </w:r>
            <w:r>
              <w:rPr>
                <w:rFonts w:hint="default" w:ascii="Times New Roman" w:hAnsi="Times New Roman" w:eastAsia="宋体" w:cs="Times New Roman"/>
                <w:color w:val="000000" w:themeColor="text1"/>
                <w:sz w:val="24"/>
                <w:szCs w:val="24"/>
                <w:lang w:val="en-GB"/>
                <w14:textFill>
                  <w14:solidFill>
                    <w14:schemeClr w14:val="tx1"/>
                  </w14:solidFill>
                </w14:textFill>
              </w:rPr>
              <w:t>orward</w:t>
            </w:r>
          </w:p>
        </w:tc>
        <w:tc>
          <w:tcPr>
            <w:tcW w:w="2688"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5’-TCCCAGCTACTAGGGAGGCTG-3’</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6" w:type="pct"/>
            <w:vMerge w:val="continue"/>
            <w:shd w:val="clear" w:color="auto" w:fill="auto"/>
          </w:tcPr>
          <w:p>
            <w:pPr>
              <w:rPr>
                <w:rFonts w:hint="default" w:ascii="Times New Roman" w:hAnsi="Times New Roman" w:eastAsia="宋体" w:cs="Times New Roman"/>
                <w:b w:val="0"/>
                <w:bCs w:val="0"/>
                <w:color w:val="000000" w:themeColor="text1"/>
                <w:sz w:val="24"/>
                <w:szCs w:val="24"/>
                <w14:textFill>
                  <w14:solidFill>
                    <w14:schemeClr w14:val="tx1"/>
                  </w14:solidFill>
                </w14:textFill>
              </w:rPr>
            </w:pPr>
          </w:p>
        </w:tc>
        <w:tc>
          <w:tcPr>
            <w:tcW w:w="1145"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bookmarkStart w:id="1" w:name="OLE_LINK2"/>
            <w:r>
              <w:rPr>
                <w:rFonts w:hint="default" w:ascii="Times New Roman" w:hAnsi="Times New Roman" w:eastAsia="宋体" w:cs="Times New Roman"/>
                <w:color w:val="000000" w:themeColor="text1"/>
                <w:sz w:val="24"/>
                <w:szCs w:val="24"/>
                <w:lang w:val="en-GB"/>
                <w14:textFill>
                  <w14:solidFill>
                    <w14:schemeClr w14:val="tx1"/>
                  </w14:solidFill>
                </w14:textFill>
              </w:rPr>
              <w:t>reverse</w:t>
            </w:r>
            <w:bookmarkEnd w:id="1"/>
          </w:p>
        </w:tc>
        <w:tc>
          <w:tcPr>
            <w:tcW w:w="2688"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5’-CACAGTCCTCCGTGGACTTG-3’</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6" w:type="pct"/>
            <w:vMerge w:val="restart"/>
            <w:shd w:val="clear" w:color="auto" w:fill="auto"/>
            <w:vAlign w:val="top"/>
          </w:tcPr>
          <w:p>
            <w:pPr>
              <w:rPr>
                <w:rFonts w:hint="default" w:ascii="Times New Roman" w:hAnsi="Times New Roman" w:eastAsia="宋体" w:cs="Times New Roman"/>
                <w:b w:val="0"/>
                <w:bCs w:val="0"/>
                <w:color w:val="000000" w:themeColor="text1"/>
                <w:sz w:val="24"/>
                <w:szCs w:val="24"/>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-814/-499</w:t>
            </w:r>
            <w:r>
              <w:rPr>
                <w:rFonts w:hint="default" w:ascii="Times New Roman" w:hAnsi="Times New Roman" w:eastAsia="宋体" w:cs="Times New Roman"/>
                <w:color w:val="FF0000"/>
                <w:sz w:val="24"/>
                <w:szCs w:val="24"/>
                <w:lang w:val="en-GB"/>
              </w:rPr>
              <w:t xml:space="preserve"> </w:t>
            </w:r>
          </w:p>
        </w:tc>
        <w:tc>
          <w:tcPr>
            <w:tcW w:w="1145" w:type="pct"/>
            <w:shd w:val="clear" w:color="auto" w:fill="auto"/>
            <w:vAlign w:val="top"/>
          </w:tcPr>
          <w:p>
            <w:pPr>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f</w:t>
            </w:r>
            <w:r>
              <w:rPr>
                <w:rFonts w:hint="default" w:ascii="Times New Roman" w:hAnsi="Times New Roman" w:eastAsia="宋体" w:cs="Times New Roman"/>
                <w:color w:val="000000" w:themeColor="text1"/>
                <w:sz w:val="24"/>
                <w:szCs w:val="24"/>
                <w:lang w:val="en-GB"/>
                <w14:textFill>
                  <w14:solidFill>
                    <w14:schemeClr w14:val="tx1"/>
                  </w14:solidFill>
                </w14:textFill>
              </w:rPr>
              <w:t>orward</w:t>
            </w:r>
          </w:p>
        </w:tc>
        <w:tc>
          <w:tcPr>
            <w:tcW w:w="2688" w:type="pct"/>
            <w:shd w:val="clear" w:color="auto" w:fill="auto"/>
            <w:vAlign w:val="top"/>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5’-GAAGGATCACTTGAGCCCAG-3’</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6" w:type="pct"/>
            <w:vMerge w:val="continue"/>
            <w:shd w:val="clear" w:color="auto" w:fill="auto"/>
            <w:vAlign w:val="top"/>
          </w:tcPr>
          <w:p>
            <w:pPr>
              <w:spacing w:line="360" w:lineRule="auto"/>
              <w:rPr>
                <w:rFonts w:hint="default" w:ascii="Times New Roman" w:hAnsi="Times New Roman" w:eastAsia="宋体" w:cs="Times New Roman"/>
                <w:sz w:val="24"/>
                <w:szCs w:val="24"/>
              </w:rPr>
            </w:pPr>
          </w:p>
        </w:tc>
        <w:tc>
          <w:tcPr>
            <w:tcW w:w="1145" w:type="pct"/>
            <w:shd w:val="clear" w:color="auto" w:fill="auto"/>
            <w:vAlign w:val="top"/>
          </w:tcPr>
          <w:p>
            <w:pPr>
              <w:spacing w:line="360" w:lineRule="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reverse</w:t>
            </w:r>
          </w:p>
        </w:tc>
        <w:tc>
          <w:tcPr>
            <w:tcW w:w="2688" w:type="pct"/>
            <w:shd w:val="clear" w:color="auto" w:fill="auto"/>
            <w:vAlign w:val="top"/>
          </w:tcPr>
          <w:p>
            <w:pP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5’-TCAGCCTCCCTAGTAGCTGG-3’</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6" w:type="pct"/>
            <w:vMerge w:val="restart"/>
            <w:shd w:val="clear" w:color="auto" w:fill="auto"/>
          </w:tcPr>
          <w:p>
            <w:pPr>
              <w:rPr>
                <w:rFonts w:hint="default" w:ascii="Times New Roman" w:hAnsi="Times New Roman" w:eastAsia="宋体" w:cs="Times New Roman"/>
                <w:b w:val="0"/>
                <w:bCs w:val="0"/>
                <w:color w:val="000000" w:themeColor="text1"/>
                <w:sz w:val="24"/>
                <w:szCs w:val="24"/>
                <w:lang w:val="en-US"/>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-1088/-792</w:t>
            </w:r>
          </w:p>
        </w:tc>
        <w:tc>
          <w:tcPr>
            <w:tcW w:w="1145" w:type="pct"/>
            <w:shd w:val="clear" w:color="auto" w:fill="auto"/>
            <w:vAlign w:val="top"/>
          </w:tcPr>
          <w:p>
            <w:pPr>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f</w:t>
            </w:r>
            <w:r>
              <w:rPr>
                <w:rFonts w:hint="default" w:ascii="Times New Roman" w:hAnsi="Times New Roman" w:eastAsia="宋体" w:cs="Times New Roman"/>
                <w:color w:val="000000" w:themeColor="text1"/>
                <w:sz w:val="24"/>
                <w:szCs w:val="24"/>
                <w:lang w:val="en-GB"/>
                <w14:textFill>
                  <w14:solidFill>
                    <w14:schemeClr w14:val="tx1"/>
                  </w14:solidFill>
                </w14:textFill>
              </w:rPr>
              <w:t>orward</w:t>
            </w:r>
          </w:p>
        </w:tc>
        <w:tc>
          <w:tcPr>
            <w:tcW w:w="2688" w:type="pct"/>
            <w:shd w:val="clear" w:color="auto" w:fill="auto"/>
            <w:vAlign w:val="top"/>
          </w:tcPr>
          <w:p>
            <w:pP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5’-ATCACCTGGCATTGTCATGG-3’</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6" w:type="pct"/>
            <w:vMerge w:val="continue"/>
            <w:shd w:val="clear" w:color="auto" w:fill="auto"/>
          </w:tcPr>
          <w:p>
            <w:pPr>
              <w:rPr>
                <w:rFonts w:hint="default" w:ascii="Times New Roman" w:hAnsi="Times New Roman" w:eastAsia="宋体" w:cs="Times New Roman"/>
                <w:sz w:val="24"/>
                <w:szCs w:val="24"/>
              </w:rPr>
            </w:pPr>
          </w:p>
        </w:tc>
        <w:tc>
          <w:tcPr>
            <w:tcW w:w="1145" w:type="pct"/>
            <w:shd w:val="clear" w:color="auto" w:fill="auto"/>
            <w:vAlign w:val="top"/>
          </w:tcPr>
          <w:p>
            <w:pPr>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reverse</w:t>
            </w:r>
          </w:p>
        </w:tc>
        <w:tc>
          <w:tcPr>
            <w:tcW w:w="2688" w:type="pct"/>
            <w:shd w:val="clear" w:color="auto" w:fill="auto"/>
            <w:vAlign w:val="top"/>
          </w:tcPr>
          <w:p>
            <w:pP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5’-CTCCTGGGCTCAAGTGATCC-3’</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6" w:type="pct"/>
            <w:vMerge w:val="restart"/>
            <w:shd w:val="clear" w:color="auto" w:fill="auto"/>
          </w:tcPr>
          <w:p>
            <w:pPr>
              <w:rPr>
                <w:rFonts w:hint="default" w:ascii="Times New Roman" w:hAnsi="Times New Roman" w:eastAsia="宋体" w:cs="Times New Roman"/>
                <w:b w:val="0"/>
                <w:bCs w:val="0"/>
                <w:color w:val="000000" w:themeColor="text1"/>
                <w:sz w:val="24"/>
                <w:szCs w:val="24"/>
                <w:lang w:val="en-US"/>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-1367/-1070</w:t>
            </w:r>
          </w:p>
        </w:tc>
        <w:tc>
          <w:tcPr>
            <w:tcW w:w="1145" w:type="pct"/>
            <w:shd w:val="clear" w:color="auto" w:fill="auto"/>
            <w:vAlign w:val="top"/>
          </w:tcPr>
          <w:p>
            <w:pPr>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f</w:t>
            </w:r>
            <w:r>
              <w:rPr>
                <w:rFonts w:hint="default" w:ascii="Times New Roman" w:hAnsi="Times New Roman" w:eastAsia="宋体" w:cs="Times New Roman"/>
                <w:color w:val="000000" w:themeColor="text1"/>
                <w:sz w:val="24"/>
                <w:szCs w:val="24"/>
                <w:lang w:val="en-GB"/>
                <w14:textFill>
                  <w14:solidFill>
                    <w14:schemeClr w14:val="tx1"/>
                  </w14:solidFill>
                </w14:textFill>
              </w:rPr>
              <w:t>orward</w:t>
            </w:r>
          </w:p>
        </w:tc>
        <w:tc>
          <w:tcPr>
            <w:tcW w:w="2688" w:type="pct"/>
            <w:shd w:val="clear" w:color="auto" w:fill="auto"/>
            <w:vAlign w:val="top"/>
          </w:tcPr>
          <w:p>
            <w:pP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5’-TCTTCCTCTGTAAAATAGGC-3’</w:t>
            </w:r>
          </w:p>
        </w:tc>
      </w:tr>
      <w:tr>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166" w:type="pct"/>
            <w:vMerge w:val="continue"/>
            <w:shd w:val="clear" w:color="auto" w:fill="auto"/>
          </w:tcPr>
          <w:p>
            <w:pPr>
              <w:rPr>
                <w:rFonts w:hint="default" w:ascii="Times New Roman" w:hAnsi="Times New Roman" w:eastAsia="宋体" w:cs="Times New Roman"/>
                <w:sz w:val="24"/>
                <w:szCs w:val="24"/>
              </w:rPr>
            </w:pPr>
          </w:p>
        </w:tc>
        <w:tc>
          <w:tcPr>
            <w:tcW w:w="1145" w:type="pct"/>
            <w:shd w:val="clear" w:color="auto" w:fill="auto"/>
            <w:vAlign w:val="top"/>
          </w:tcPr>
          <w:p>
            <w:pPr>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GB"/>
                <w14:textFill>
                  <w14:solidFill>
                    <w14:schemeClr w14:val="tx1"/>
                  </w14:solidFill>
                </w14:textFill>
              </w:rPr>
              <w:t>reverse</w:t>
            </w:r>
          </w:p>
        </w:tc>
        <w:tc>
          <w:tcPr>
            <w:tcW w:w="2688" w:type="pct"/>
            <w:shd w:val="clear" w:color="auto" w:fill="auto"/>
          </w:tcPr>
          <w:p>
            <w:pP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5’-CATGACAATGCCAGGTGATG-3’</w:t>
            </w:r>
          </w:p>
        </w:tc>
      </w:tr>
    </w:tbl>
    <w:p>
      <w:pPr>
        <w:spacing w:line="360" w:lineRule="auto"/>
        <w:rPr>
          <w:rFonts w:hint="eastAsia" w:ascii="Times New Roman" w:hAnsi="Times New Roman" w:cs="Times New Roman"/>
          <w:b/>
          <w:bCs/>
          <w:strike w:val="0"/>
          <w:dstrike w:val="0"/>
          <w:color w:val="000000" w:themeColor="text1"/>
          <w:sz w:val="24"/>
          <w14:textFill>
            <w14:solidFill>
              <w14:schemeClr w14:val="tx1"/>
            </w14:solidFill>
          </w14:textFill>
        </w:rPr>
      </w:pPr>
      <w:r>
        <w:rPr>
          <w:rFonts w:hint="eastAsia" w:ascii="Times New Roman" w:hAnsi="Times New Roman" w:cs="Times New Roman"/>
          <w:b/>
          <w:bCs/>
          <w:strike w:val="0"/>
          <w:dstrike w:val="0"/>
          <w:color w:val="000000" w:themeColor="text1"/>
          <w:sz w:val="24"/>
          <w:lang w:val="en-US" w:eastAsia="zh-CN"/>
          <w14:textFill>
            <w14:solidFill>
              <w14:schemeClr w14:val="tx1"/>
            </w14:solidFill>
          </w14:textFill>
        </w:rPr>
        <w:t>Stable</w:t>
      </w:r>
      <w:r>
        <w:rPr>
          <w:rFonts w:hint="eastAsia" w:ascii="Times New Roman" w:hAnsi="Times New Roman" w:cs="Times New Roman"/>
          <w:b/>
          <w:bCs/>
          <w:strike w:val="0"/>
          <w:dstrike w:val="0"/>
          <w:color w:val="000000" w:themeColor="text1"/>
          <w:sz w:val="24"/>
          <w14:textFill>
            <w14:solidFill>
              <w14:schemeClr w14:val="tx1"/>
            </w14:solidFill>
          </w14:textFill>
        </w:rPr>
        <w:t xml:space="preserve"> cell line establishment</w:t>
      </w:r>
    </w:p>
    <w:p>
      <w:pPr>
        <w:spacing w:line="360" w:lineRule="auto"/>
        <w:rPr>
          <w:rFonts w:hint="eastAsia" w:ascii="Times New Roman" w:hAnsi="Times New Roman" w:cs="Times New Roman"/>
          <w:strike w:val="0"/>
          <w:dstrike w:val="0"/>
          <w:color w:val="000000" w:themeColor="text1"/>
          <w:sz w:val="24"/>
          <w14:textFill>
            <w14:solidFill>
              <w14:schemeClr w14:val="tx1"/>
            </w14:solidFill>
          </w14:textFill>
        </w:rPr>
      </w:pPr>
      <w:bookmarkStart w:id="2" w:name="OLE_LINK14"/>
      <w:r>
        <w:rPr>
          <w:rFonts w:ascii="Times New Roman" w:hAnsi="Times New Roman" w:cs="Times New Roman"/>
          <w:color w:val="FF0000"/>
          <w:sz w:val="24"/>
        </w:rPr>
        <w:t xml:space="preserve">Although S100A11 expression can be detected in both PDAC cells, </w:t>
      </w:r>
      <w:r>
        <w:rPr>
          <w:rFonts w:hint="eastAsia" w:ascii="Times New Roman" w:hAnsi="Times New Roman" w:cs="Times New Roman"/>
          <w:color w:val="FF0000"/>
          <w:sz w:val="24"/>
          <w:lang w:val="en-US" w:eastAsia="zh-CN"/>
        </w:rPr>
        <w:t>t</w:t>
      </w:r>
      <w:r>
        <w:rPr>
          <w:rFonts w:hint="eastAsia" w:ascii="Times New Roman" w:hAnsi="Times New Roman" w:eastAsia="宋体" w:cs="Times New Roman"/>
          <w:color w:val="FF0000"/>
          <w:sz w:val="24"/>
        </w:rPr>
        <w:t>o better persuasive,</w:t>
      </w:r>
      <w:r>
        <w:rPr>
          <w:rFonts w:hint="eastAsia" w:ascii="Times New Roman" w:hAnsi="Times New Roman" w:eastAsia="宋体" w:cs="Times New Roman"/>
          <w:color w:val="FF0000"/>
          <w:sz w:val="24"/>
          <w:lang w:val="en-US" w:eastAsia="zh-CN"/>
        </w:rPr>
        <w:t xml:space="preserve"> </w:t>
      </w:r>
      <w:r>
        <w:rPr>
          <w:rFonts w:hint="eastAsia" w:ascii="Times New Roman" w:hAnsi="Times New Roman" w:eastAsia="宋体" w:cs="Times New Roman"/>
          <w:color w:val="FF0000"/>
          <w:sz w:val="24"/>
        </w:rPr>
        <w:t>we used the S100A11 control sequence as a negative control</w:t>
      </w:r>
      <w:r>
        <w:rPr>
          <w:rFonts w:hint="eastAsia" w:ascii="Times New Roman" w:hAnsi="Times New Roman" w:eastAsia="宋体" w:cs="Times New Roman"/>
          <w:color w:val="FF0000"/>
          <w:sz w:val="24"/>
          <w:lang w:val="en-US" w:eastAsia="zh-CN"/>
        </w:rPr>
        <w:t xml:space="preserve"> c</w:t>
      </w:r>
      <w:r>
        <w:rPr>
          <w:rFonts w:hint="eastAsia" w:ascii="Times New Roman" w:hAnsi="Times New Roman" w:eastAsia="宋体" w:cs="Times New Roman"/>
          <w:color w:val="FF0000"/>
          <w:sz w:val="24"/>
        </w:rPr>
        <w:t xml:space="preserve">onsidering the transfection toxicity of CRISPR/Cas9 system. </w:t>
      </w:r>
      <w:bookmarkEnd w:id="2"/>
      <w:r>
        <w:rPr>
          <w:rFonts w:hint="eastAsia" w:ascii="Times New Roman" w:hAnsi="Times New Roman" w:cs="Times New Roman"/>
          <w:strike w:val="0"/>
          <w:dstrike w:val="0"/>
          <w:color w:val="000000" w:themeColor="text1"/>
          <w:sz w:val="24"/>
          <w14:textFill>
            <w14:solidFill>
              <w14:schemeClr w14:val="tx1"/>
            </w14:solidFill>
          </w14:textFill>
        </w:rPr>
        <w:t xml:space="preserve">1 </w:t>
      </w:r>
      <w:r>
        <w:rPr>
          <w:rFonts w:hint="default" w:ascii="Times New Roman" w:hAnsi="Times New Roman" w:cs="Times New Roman"/>
          <w:strike w:val="0"/>
          <w:dstrike w:val="0"/>
          <w:color w:val="000000" w:themeColor="text1"/>
          <w:sz w:val="24"/>
          <w14:textFill>
            <w14:solidFill>
              <w14:schemeClr w14:val="tx1"/>
            </w14:solidFill>
          </w14:textFill>
        </w:rPr>
        <w:t>×</w:t>
      </w:r>
      <w:r>
        <w:rPr>
          <w:rFonts w:hint="eastAsia" w:ascii="Times New Roman" w:hAnsi="Times New Roman" w:cs="Times New Roman"/>
          <w:strike w:val="0"/>
          <w:dstrike w:val="0"/>
          <w:color w:val="000000" w:themeColor="text1"/>
          <w:sz w:val="24"/>
          <w14:textFill>
            <w14:solidFill>
              <w14:schemeClr w14:val="tx1"/>
            </w14:solidFill>
          </w14:textFill>
        </w:rPr>
        <w:t xml:space="preserve"> 10</w:t>
      </w:r>
      <w:r>
        <w:rPr>
          <w:rFonts w:hint="eastAsia" w:ascii="Times New Roman" w:hAnsi="Times New Roman" w:cs="Times New Roman"/>
          <w:strike w:val="0"/>
          <w:dstrike w:val="0"/>
          <w:color w:val="000000" w:themeColor="text1"/>
          <w:sz w:val="24"/>
          <w:vertAlign w:val="superscript"/>
          <w14:textFill>
            <w14:solidFill>
              <w14:schemeClr w14:val="tx1"/>
            </w14:solidFill>
          </w14:textFill>
        </w:rPr>
        <w:t>5</w:t>
      </w:r>
      <w:r>
        <w:rPr>
          <w:rFonts w:hint="eastAsia" w:ascii="Times New Roman" w:hAnsi="Times New Roman" w:cs="Times New Roman"/>
          <w:strike w:val="0"/>
          <w:dstrike w:val="0"/>
          <w:color w:val="000000" w:themeColor="text1"/>
          <w:sz w:val="24"/>
          <w14:textFill>
            <w14:solidFill>
              <w14:schemeClr w14:val="tx1"/>
            </w14:solidFill>
          </w14:textFill>
        </w:rPr>
        <w:t xml:space="preserve"> cells/well were seeded into six-well plates and cultured for 24 h.</w:t>
      </w:r>
      <w:r>
        <w:rPr>
          <w:rFonts w:hint="eastAsia" w:ascii="Times New Roman" w:hAnsi="Times New Roman" w:cs="Times New Roman"/>
          <w:strike w:val="0"/>
          <w:dstrike w:val="0"/>
          <w:color w:val="000000" w:themeColor="text1"/>
          <w:sz w:val="24"/>
          <w:lang w:val="en-US" w:eastAsia="zh-CN"/>
          <w14:textFill>
            <w14:solidFill>
              <w14:schemeClr w14:val="tx1"/>
            </w14:solidFill>
          </w14:textFill>
        </w:rPr>
        <w:t xml:space="preserve"> </w:t>
      </w:r>
      <w:r>
        <w:rPr>
          <w:rFonts w:hint="eastAsia" w:ascii="Times New Roman" w:hAnsi="Times New Roman" w:cs="Times New Roman"/>
          <w:strike w:val="0"/>
          <w:dstrike w:val="0"/>
          <w:color w:val="000000" w:themeColor="text1"/>
          <w:sz w:val="24"/>
          <w14:textFill>
            <w14:solidFill>
              <w14:schemeClr w14:val="tx1"/>
            </w14:solidFill>
          </w14:textFill>
        </w:rPr>
        <w:t>The dual gRNA construct carrying Cas9 and the donor vector were infected into PDAC cells</w:t>
      </w:r>
      <w:r>
        <w:rPr>
          <w:rFonts w:hint="eastAsia" w:ascii="Times New Roman" w:hAnsi="Times New Roman" w:cs="Times New Roman"/>
          <w:strike w:val="0"/>
          <w:dstrike w:val="0"/>
          <w:color w:val="000000" w:themeColor="text1"/>
          <w:sz w:val="24"/>
          <w:lang w:val="en-US" w:eastAsia="zh-CN"/>
          <w14:textFill>
            <w14:solidFill>
              <w14:schemeClr w14:val="tx1"/>
            </w14:solidFill>
          </w14:textFill>
        </w:rPr>
        <w:t xml:space="preserve"> </w:t>
      </w:r>
      <w:r>
        <w:rPr>
          <w:rFonts w:ascii="Times New Roman" w:hAnsi="Times New Roman" w:cs="Times New Roman"/>
          <w:sz w:val="24"/>
          <w:lang w:val="en-GB"/>
        </w:rPr>
        <w:t>in accordance with the manufacturer’s instructions (Genechem)</w:t>
      </w:r>
      <w:r>
        <w:rPr>
          <w:rFonts w:hint="eastAsia" w:ascii="Times New Roman" w:hAnsi="Times New Roman" w:cs="Times New Roman"/>
          <w:sz w:val="24"/>
          <w:lang w:val="en-US" w:eastAsia="zh-CN"/>
        </w:rPr>
        <w:t>.</w:t>
      </w:r>
      <w:r>
        <w:rPr>
          <w:rFonts w:hint="eastAsia" w:ascii="Times New Roman" w:hAnsi="Times New Roman" w:cs="Times New Roman"/>
          <w:strike w:val="0"/>
          <w:dstrike w:val="0"/>
          <w:color w:val="000000" w:themeColor="text1"/>
          <w:sz w:val="24"/>
          <w14:textFill>
            <w14:solidFill>
              <w14:schemeClr w14:val="tx1"/>
            </w14:solidFill>
          </w14:textFill>
        </w:rPr>
        <w:t xml:space="preserve"> </w:t>
      </w:r>
      <w:r>
        <w:rPr>
          <w:rFonts w:hint="eastAsia" w:ascii="Times New Roman" w:hAnsi="Times New Roman" w:cs="Times New Roman"/>
          <w:strike w:val="0"/>
          <w:dstrike w:val="0"/>
          <w:color w:val="000000" w:themeColor="text1"/>
          <w:sz w:val="24"/>
          <w:lang w:val="en-US" w:eastAsia="zh-CN"/>
          <w14:textFill>
            <w14:solidFill>
              <w14:schemeClr w14:val="tx1"/>
            </w14:solidFill>
          </w14:textFill>
        </w:rPr>
        <w:t>V</w:t>
      </w:r>
      <w:r>
        <w:rPr>
          <w:rFonts w:hint="eastAsia" w:ascii="Times New Roman" w:hAnsi="Times New Roman" w:cs="Times New Roman"/>
          <w:strike w:val="0"/>
          <w:dstrike w:val="0"/>
          <w:color w:val="000000" w:themeColor="text1"/>
          <w:sz w:val="24"/>
          <w14:textFill>
            <w14:solidFill>
              <w14:schemeClr w14:val="tx1"/>
            </w14:solidFill>
          </w14:textFill>
        </w:rPr>
        <w:t xml:space="preserve">iral solutions according to the multiplicity of infection </w:t>
      </w:r>
      <w:r>
        <w:rPr>
          <w:rFonts w:hint="eastAsia" w:ascii="Times New Roman" w:hAnsi="Times New Roman" w:cs="Times New Roman"/>
          <w:strike w:val="0"/>
          <w:dstrike w:val="0"/>
          <w:color w:val="000000" w:themeColor="text1"/>
          <w:sz w:val="24"/>
          <w:lang w:val="en-US" w:eastAsia="zh-CN"/>
          <w14:textFill>
            <w14:solidFill>
              <w14:schemeClr w14:val="tx1"/>
            </w14:solidFill>
          </w14:textFill>
        </w:rPr>
        <w:t>(MOI)</w:t>
      </w:r>
      <w:r>
        <w:rPr>
          <w:rFonts w:hint="eastAsia" w:ascii="Times New Roman" w:hAnsi="Times New Roman" w:cs="Times New Roman"/>
          <w:strike w:val="0"/>
          <w:dstrike w:val="0"/>
          <w:color w:val="000000" w:themeColor="text1"/>
          <w:sz w:val="24"/>
          <w14:textFill>
            <w14:solidFill>
              <w14:schemeClr w14:val="tx1"/>
            </w14:solidFill>
          </w14:textFill>
        </w:rPr>
        <w:t xml:space="preserve"> were added into cell culture medium. After incubation for 8 h, the medium were changed by normal medium.</w:t>
      </w:r>
      <w:r>
        <w:rPr>
          <w:rFonts w:hint="eastAsia" w:ascii="Times New Roman" w:hAnsi="Times New Roman" w:cs="Times New Roman"/>
          <w:strike w:val="0"/>
          <w:dstrike w:val="0"/>
          <w:color w:val="000000" w:themeColor="text1"/>
          <w:sz w:val="24"/>
          <w:lang w:val="en-US" w:eastAsia="zh-CN"/>
          <w14:textFill>
            <w14:solidFill>
              <w14:schemeClr w14:val="tx1"/>
            </w14:solidFill>
          </w14:textFill>
        </w:rPr>
        <w:t xml:space="preserve"> </w:t>
      </w:r>
      <w:r>
        <w:rPr>
          <w:rFonts w:hint="eastAsia" w:ascii="Times New Roman" w:hAnsi="Times New Roman" w:cs="Times New Roman"/>
          <w:strike w:val="0"/>
          <w:dstrike w:val="0"/>
          <w:color w:val="000000" w:themeColor="text1"/>
          <w:sz w:val="24"/>
          <w14:textFill>
            <w14:solidFill>
              <w14:schemeClr w14:val="tx1"/>
            </w14:solidFill>
          </w14:textFill>
        </w:rPr>
        <w:t>To sort positive clones, GFP and PU were integrated into the genomic DNA by homologous recombination.</w:t>
      </w:r>
      <w:r>
        <w:rPr>
          <w:rFonts w:hint="eastAsia" w:ascii="Times New Roman" w:hAnsi="Times New Roman" w:cs="Times New Roman"/>
          <w:strike w:val="0"/>
          <w:dstrike w:val="0"/>
          <w:color w:val="000000" w:themeColor="text1"/>
          <w:sz w:val="24"/>
          <w:lang w:val="en-US" w:eastAsia="zh-CN"/>
          <w14:textFill>
            <w14:solidFill>
              <w14:schemeClr w14:val="tx1"/>
            </w14:solidFill>
          </w14:textFill>
        </w:rPr>
        <w:t xml:space="preserve"> </w:t>
      </w:r>
      <w:r>
        <w:rPr>
          <w:rFonts w:hint="eastAsia" w:ascii="Times New Roman" w:hAnsi="Times New Roman" w:cs="Times New Roman"/>
          <w:strike w:val="0"/>
          <w:dstrike w:val="0"/>
          <w:color w:val="000000" w:themeColor="text1"/>
          <w:sz w:val="24"/>
          <w14:textFill>
            <w14:solidFill>
              <w14:schemeClr w14:val="tx1"/>
            </w14:solidFill>
          </w14:textFill>
        </w:rPr>
        <w:t xml:space="preserve">The efficiency of gRNA was determined by real-time RT-PCR and western blot. </w:t>
      </w:r>
    </w:p>
    <w:p>
      <w:pPr>
        <w:spacing w:line="360" w:lineRule="auto"/>
        <w:rPr>
          <w:rFonts w:hint="eastAsia" w:ascii="Times New Roman" w:hAnsi="Times New Roman" w:cs="Times New Roman"/>
          <w:strike w:val="0"/>
          <w:dstrike w:val="0"/>
          <w:color w:val="FF0000"/>
          <w:sz w:val="24"/>
        </w:rPr>
      </w:pPr>
      <w:r>
        <w:rPr>
          <w:rFonts w:hint="eastAsia" w:ascii="Times New Roman" w:hAnsi="Times New Roman" w:cs="Times New Roman"/>
          <w:strike w:val="0"/>
          <w:dstrike w:val="0"/>
          <w:color w:val="000000" w:themeColor="text1"/>
          <w:sz w:val="24"/>
          <w14:textFill>
            <w14:solidFill>
              <w14:schemeClr w14:val="tx1"/>
            </w14:solidFill>
          </w14:textFill>
        </w:rPr>
        <w:t xml:space="preserve"> </w:t>
      </w:r>
      <w:r>
        <w:rPr>
          <w:rFonts w:hint="eastAsia" w:ascii="Times New Roman" w:hAnsi="Times New Roman" w:cs="Times New Roman"/>
          <w:strike w:val="0"/>
          <w:dstrike w:val="0"/>
          <w:color w:val="FF0000"/>
          <w:sz w:val="24"/>
        </w:rPr>
        <w:t>TRIzol reagent was used to extract total RNA from Hela cells. Then, the RNA was reverse-transcribed to cDNA with a reverse transcription kit for reverse-transcription polymerase chain reaction (RT-PCR). TKT cDNA was amplified and cloned into the pCMV-3×FLAG 7.1 (Sigma–Aldrich), and pCMV-3×FLAG-BAP was used as a negative control. The TKT plasmid was extracted with a QIAprep spin Miniprep Kit (QIAGEN). Ectopic TKT expression vector and its corresponding control was transfected employing the Lipofectamine 2000 reagent (Thermo Fisher Scientific) following the manufacturer</w:t>
      </w:r>
      <w:r>
        <w:rPr>
          <w:rFonts w:hint="default" w:ascii="Times New Roman" w:hAnsi="Times New Roman" w:cs="Times New Roman"/>
          <w:strike w:val="0"/>
          <w:dstrike w:val="0"/>
          <w:color w:val="FF0000"/>
          <w:sz w:val="24"/>
          <w:lang w:val="en-US" w:eastAsia="zh-CN"/>
        </w:rPr>
        <w:t>’</w:t>
      </w:r>
      <w:r>
        <w:rPr>
          <w:rFonts w:hint="eastAsia" w:ascii="Times New Roman" w:hAnsi="Times New Roman" w:cs="Times New Roman"/>
          <w:strike w:val="0"/>
          <w:dstrike w:val="0"/>
          <w:color w:val="FF0000"/>
          <w:sz w:val="24"/>
        </w:rPr>
        <w:t>s instructions. After 48 h transfection, the expression of target protein and gene were evaluated by Western blot.</w:t>
      </w:r>
    </w:p>
    <w:p>
      <w:pPr>
        <w:spacing w:line="360" w:lineRule="auto"/>
        <w:rPr>
          <w:rFonts w:hint="eastAsia" w:ascii="Times New Roman" w:hAnsi="Times New Roman" w:cs="Times New Roman"/>
          <w:b/>
          <w:bCs w:val="0"/>
          <w:strike w:val="0"/>
          <w:dstrike w:val="0"/>
          <w:color w:val="FF0000"/>
          <w:sz w:val="24"/>
        </w:rPr>
      </w:pPr>
      <w:r>
        <w:rPr>
          <w:rFonts w:hint="eastAsia" w:ascii="Times New Roman" w:hAnsi="Times New Roman" w:cs="Times New Roman"/>
          <w:b/>
          <w:bCs w:val="0"/>
          <w:color w:val="FF0000"/>
          <w:sz w:val="24"/>
          <w:szCs w:val="24"/>
          <w:lang w:val="en-US" w:eastAsia="zh-CN"/>
        </w:rPr>
        <w:t>S</w:t>
      </w:r>
      <w:r>
        <w:rPr>
          <w:rFonts w:ascii="Times New Roman" w:hAnsi="Times New Roman" w:cs="Times New Roman"/>
          <w:b/>
          <w:bCs w:val="0"/>
          <w:color w:val="FF0000"/>
          <w:sz w:val="24"/>
          <w:szCs w:val="24"/>
        </w:rPr>
        <w:t>urvival analysi</w:t>
      </w:r>
      <w:r>
        <w:rPr>
          <w:rFonts w:hint="eastAsia" w:ascii="Times New Roman" w:hAnsi="Times New Roman" w:cs="Times New Roman"/>
          <w:b/>
          <w:bCs w:val="0"/>
          <w:color w:val="FF0000"/>
          <w:sz w:val="24"/>
          <w:szCs w:val="24"/>
        </w:rPr>
        <w:t>s</w:t>
      </w:r>
    </w:p>
    <w:p>
      <w:pPr>
        <w:spacing w:line="360" w:lineRule="auto"/>
        <w:rPr>
          <w:rFonts w:hint="eastAsia" w:ascii="Times New Roman" w:hAnsi="Times New Roman" w:cs="Times New Roman" w:eastAsiaTheme="minorEastAsia"/>
          <w:strike w:val="0"/>
          <w:dstrike w:val="0"/>
          <w:color w:val="000000" w:themeColor="text1"/>
          <w:sz w:val="24"/>
          <w:lang w:val="en-US" w:eastAsia="zh-CN"/>
          <w14:textFill>
            <w14:solidFill>
              <w14:schemeClr w14:val="tx1"/>
            </w14:solidFill>
          </w14:textFill>
        </w:rPr>
      </w:pPr>
      <w:r>
        <w:rPr>
          <w:rFonts w:hint="eastAsia" w:ascii="Times New Roman" w:hAnsi="Times New Roman" w:cs="Times New Roman"/>
          <w:color w:val="FF0000"/>
          <w:sz w:val="24"/>
        </w:rPr>
        <w:t>Briefly, u</w:t>
      </w:r>
      <w:r>
        <w:rPr>
          <w:rFonts w:hint="eastAsia" w:ascii="Times New Roman" w:hAnsi="Times New Roman" w:cs="Times New Roman"/>
          <w:color w:val="FF0000"/>
          <w:sz w:val="24"/>
          <w:lang w:val="en-GB"/>
        </w:rPr>
        <w:t>ser</w:t>
      </w:r>
      <w:r>
        <w:rPr>
          <w:rFonts w:hint="eastAsia" w:ascii="Times New Roman" w:hAnsi="Times New Roman" w:cs="Times New Roman"/>
          <w:color w:val="FF0000"/>
          <w:sz w:val="24"/>
        </w:rPr>
        <w:t>s</w:t>
      </w:r>
      <w:r>
        <w:rPr>
          <w:rFonts w:hint="eastAsia" w:ascii="Times New Roman" w:hAnsi="Times New Roman" w:cs="Times New Roman"/>
          <w:color w:val="FF0000"/>
          <w:sz w:val="24"/>
          <w:lang w:val="en-GB"/>
        </w:rPr>
        <w:t xml:space="preserve"> input </w:t>
      </w:r>
      <w:r>
        <w:rPr>
          <w:rFonts w:hint="eastAsia" w:ascii="Times New Roman" w:hAnsi="Times New Roman" w:cs="Times New Roman"/>
          <w:color w:val="FF0000"/>
          <w:sz w:val="24"/>
        </w:rPr>
        <w:t xml:space="preserve">the gene of </w:t>
      </w:r>
      <w:r>
        <w:rPr>
          <w:rFonts w:hint="eastAsia" w:ascii="Times New Roman" w:hAnsi="Times New Roman" w:cs="Times New Roman"/>
          <w:color w:val="FF0000"/>
          <w:sz w:val="24"/>
          <w:lang w:val="en-GB"/>
        </w:rPr>
        <w:t>S100A11 and select pancreatic adenocarcinoma (PAAD) for the survival analyses in the GEPIA website (http://gepia.cancer-pku.cn/index.html)</w:t>
      </w:r>
      <w:r>
        <w:rPr>
          <w:rFonts w:hint="eastAsia" w:ascii="Times New Roman" w:hAnsi="Times New Roman" w:cs="Times New Roman"/>
          <w:color w:val="FF0000"/>
          <w:sz w:val="24"/>
        </w:rPr>
        <w:t>, GEPIA uses log-rank test for the hypothesis evaluation. The cox proportional hazard ratio and the 95% confidence interval information can also be included in the survival plot</w:t>
      </w:r>
      <w:r>
        <w:rPr>
          <w:rFonts w:hint="eastAsia" w:ascii="Times New Roman" w:hAnsi="Times New Roman" w:cs="Times New Roman"/>
          <w:color w:val="FF0000"/>
          <w:sz w:val="24"/>
          <w:lang w:val="en-US" w:eastAsia="zh-CN"/>
        </w:rPr>
        <w:t>.</w:t>
      </w:r>
    </w:p>
    <w:p>
      <w:pPr>
        <w:spacing w:line="360" w:lineRule="auto"/>
        <w:rPr>
          <w:rFonts w:hint="default" w:ascii="Times New Roman" w:hAnsi="Times New Roman" w:cs="Times New Roman" w:eastAsiaTheme="minorEastAsia"/>
          <w:b/>
          <w:bCs/>
          <w:color w:val="FF0000"/>
          <w:sz w:val="24"/>
          <w:lang w:val="en-US" w:eastAsia="zh-CN"/>
        </w:rPr>
      </w:pPr>
      <w:bookmarkStart w:id="3" w:name="OLE_LINK3"/>
      <w:r>
        <w:rPr>
          <w:rFonts w:hint="eastAsia" w:ascii="Times New Roman" w:hAnsi="Times New Roman" w:cs="Times New Roman"/>
          <w:b/>
          <w:bCs/>
          <w:color w:val="FF0000"/>
          <w:sz w:val="24"/>
        </w:rPr>
        <w:t>Q</w:t>
      </w:r>
      <w:r>
        <w:rPr>
          <w:rFonts w:hint="eastAsia" w:ascii="Times New Roman" w:hAnsi="Times New Roman" w:cs="Times New Roman"/>
          <w:b/>
          <w:bCs/>
          <w:color w:val="FF0000"/>
          <w:sz w:val="24"/>
          <w:lang w:val="en-GB"/>
        </w:rPr>
        <w:t xml:space="preserve">uantitative real-time </w:t>
      </w:r>
      <w:r>
        <w:rPr>
          <w:rFonts w:ascii="Times New Roman" w:hAnsi="Times New Roman" w:cs="Times New Roman"/>
          <w:b/>
          <w:bCs/>
          <w:color w:val="FF0000"/>
          <w:sz w:val="24"/>
          <w:lang w:val="en-GB"/>
        </w:rPr>
        <w:t>PCR</w:t>
      </w:r>
      <w:r>
        <w:rPr>
          <w:rFonts w:hint="eastAsia" w:ascii="Times New Roman" w:hAnsi="Times New Roman" w:cs="Times New Roman"/>
          <w:b/>
          <w:bCs/>
          <w:color w:val="FF0000"/>
          <w:sz w:val="24"/>
          <w:lang w:val="en-GB"/>
        </w:rPr>
        <w:t xml:space="preserve"> analysis</w:t>
      </w:r>
    </w:p>
    <w:p>
      <w:pPr>
        <w:spacing w:line="360" w:lineRule="auto"/>
        <w:rPr>
          <w:rFonts w:hint="eastAsia" w:ascii="Times New Roman" w:hAnsi="Times New Roman" w:cs="Times New Roman"/>
          <w:color w:val="FF0000"/>
          <w:sz w:val="24"/>
          <w:lang w:val="en-GB"/>
        </w:rPr>
      </w:pPr>
      <w:r>
        <w:rPr>
          <w:rFonts w:hint="eastAsia" w:ascii="Times New Roman" w:hAnsi="Times New Roman" w:cs="Times New Roman"/>
          <w:color w:val="FF0000"/>
          <w:sz w:val="24"/>
          <w:lang w:val="en-GB"/>
        </w:rPr>
        <w:t>Total cellular RNA was isolated with Trizol. RNA reverse transcriptions of messenger RNA</w:t>
      </w:r>
      <w:r>
        <w:rPr>
          <w:rFonts w:hint="eastAsia" w:ascii="Times New Roman" w:hAnsi="Times New Roman" w:cs="Times New Roman"/>
          <w:color w:val="FF0000"/>
          <w:sz w:val="24"/>
        </w:rPr>
        <w:t xml:space="preserve"> </w:t>
      </w:r>
      <w:r>
        <w:rPr>
          <w:rFonts w:hint="eastAsia" w:ascii="Times New Roman" w:hAnsi="Times New Roman" w:cs="Times New Roman"/>
          <w:color w:val="FF0000"/>
          <w:sz w:val="24"/>
          <w:lang w:val="en-GB"/>
        </w:rPr>
        <w:t xml:space="preserve">(mRNA) </w:t>
      </w:r>
      <w:r>
        <w:rPr>
          <w:rFonts w:hint="eastAsia" w:ascii="Times New Roman" w:hAnsi="Times New Roman" w:cs="Times New Roman"/>
          <w:color w:val="FF0000"/>
          <w:sz w:val="24"/>
        </w:rPr>
        <w:t>was</w:t>
      </w:r>
      <w:r>
        <w:rPr>
          <w:rFonts w:hint="eastAsia" w:ascii="Times New Roman" w:hAnsi="Times New Roman" w:cs="Times New Roman"/>
          <w:color w:val="FF0000"/>
          <w:sz w:val="24"/>
          <w:lang w:val="en-GB"/>
        </w:rPr>
        <w:t xml:space="preserve"> performed using SuperScript III Reverse Transcriptase (Thermo</w:t>
      </w:r>
      <w:r>
        <w:rPr>
          <w:rFonts w:hint="eastAsia" w:ascii="Times New Roman" w:hAnsi="Times New Roman" w:cs="Times New Roman"/>
          <w:color w:val="FF0000"/>
          <w:sz w:val="24"/>
        </w:rPr>
        <w:t xml:space="preserve"> Fisher</w:t>
      </w:r>
      <w:r>
        <w:rPr>
          <w:rFonts w:hint="eastAsia" w:ascii="Times New Roman" w:hAnsi="Times New Roman" w:cs="Times New Roman"/>
          <w:color w:val="FF0000"/>
          <w:sz w:val="24"/>
          <w:lang w:val="en-GB"/>
        </w:rPr>
        <w:t>). The cDNA was amplified with SYBR Premix Ex</w:t>
      </w:r>
      <w:r>
        <w:rPr>
          <w:rFonts w:hint="eastAsia" w:ascii="Times New Roman" w:hAnsi="Times New Roman" w:cs="Times New Roman"/>
          <w:color w:val="FF0000"/>
          <w:sz w:val="24"/>
        </w:rPr>
        <w:t xml:space="preserve"> </w:t>
      </w:r>
      <w:r>
        <w:rPr>
          <w:rFonts w:hint="eastAsia" w:ascii="Times New Roman" w:hAnsi="Times New Roman" w:cs="Times New Roman"/>
          <w:color w:val="FF0000"/>
          <w:sz w:val="24"/>
          <w:lang w:val="en-GB"/>
        </w:rPr>
        <w:t>Taq II Kit (Takara) and measured using the ABI 7500 RealTime PCR Detection System (Applied Biosystems). The following cycle parameters were used:</w:t>
      </w:r>
      <w:r>
        <w:rPr>
          <w:rFonts w:hint="eastAsia" w:ascii="Times New Roman" w:hAnsi="Times New Roman" w:cs="Times New Roman"/>
          <w:color w:val="FF0000"/>
          <w:sz w:val="24"/>
        </w:rPr>
        <w:t xml:space="preserve"> </w:t>
      </w:r>
      <w:r>
        <w:rPr>
          <w:rFonts w:hint="eastAsia" w:ascii="Times New Roman" w:hAnsi="Times New Roman" w:cs="Times New Roman"/>
          <w:color w:val="FF0000"/>
          <w:sz w:val="24"/>
          <w:lang w:val="en-GB"/>
        </w:rPr>
        <w:t>95°C for 30 s; 45 cycles at 95°C for 5 s and 58°C for 34 s. The</w:t>
      </w:r>
      <w:r>
        <w:rPr>
          <w:rFonts w:hint="eastAsia" w:ascii="Times New Roman" w:hAnsi="Times New Roman" w:cs="Times New Roman"/>
          <w:color w:val="FF0000"/>
          <w:sz w:val="24"/>
        </w:rPr>
        <w:t xml:space="preserve"> </w:t>
      </w:r>
      <w:r>
        <w:rPr>
          <w:rFonts w:hint="eastAsia" w:ascii="Times New Roman" w:hAnsi="Times New Roman" w:cs="Times New Roman"/>
          <w:color w:val="FF0000"/>
          <w:sz w:val="24"/>
          <w:lang w:val="en-GB"/>
        </w:rPr>
        <w:t>data analysis was evaluated via the sample threshold cycle</w:t>
      </w:r>
      <w:r>
        <w:rPr>
          <w:rFonts w:hint="eastAsia" w:ascii="Times New Roman" w:hAnsi="Times New Roman" w:cs="Times New Roman"/>
          <w:color w:val="FF0000"/>
          <w:sz w:val="24"/>
        </w:rPr>
        <w:t xml:space="preserve"> </w:t>
      </w:r>
      <w:r>
        <w:rPr>
          <w:rFonts w:hint="eastAsia" w:ascii="Times New Roman" w:hAnsi="Times New Roman" w:cs="Times New Roman"/>
          <w:color w:val="FF0000"/>
          <w:sz w:val="24"/>
          <w:lang w:val="en-GB"/>
        </w:rPr>
        <w:t>(Ct) value, and the relative change in each sample was normalized to internal control gene. The fold change of</w:t>
      </w:r>
      <w:r>
        <w:rPr>
          <w:rFonts w:hint="eastAsia" w:ascii="Times New Roman" w:hAnsi="Times New Roman" w:cs="Times New Roman"/>
          <w:color w:val="FF0000"/>
          <w:sz w:val="24"/>
        </w:rPr>
        <w:t xml:space="preserve"> </w:t>
      </w:r>
      <w:r>
        <w:rPr>
          <w:rFonts w:hint="eastAsia" w:ascii="Times New Roman" w:hAnsi="Times New Roman" w:cs="Times New Roman"/>
          <w:color w:val="FF0000"/>
          <w:sz w:val="24"/>
          <w:lang w:val="en-GB"/>
        </w:rPr>
        <w:t>target RNA expression was calculated using the 2</w:t>
      </w:r>
      <w:r>
        <w:rPr>
          <w:rFonts w:ascii="Times New Roman" w:hAnsi="Times New Roman" w:cs="Times New Roman"/>
          <w:color w:val="FF0000"/>
          <w:sz w:val="24"/>
          <w:vertAlign w:val="superscript"/>
        </w:rPr>
        <w:t>-ΔΔCt</w:t>
      </w:r>
      <w:r>
        <w:rPr>
          <w:rFonts w:hint="eastAsia" w:ascii="Times New Roman" w:hAnsi="Times New Roman" w:cs="Times New Roman"/>
          <w:color w:val="FF0000"/>
          <w:sz w:val="24"/>
          <w:vertAlign w:val="superscript"/>
        </w:rPr>
        <w:t xml:space="preserve"> </w:t>
      </w:r>
      <w:r>
        <w:rPr>
          <w:rFonts w:hint="eastAsia" w:ascii="Times New Roman" w:hAnsi="Times New Roman" w:cs="Times New Roman"/>
          <w:color w:val="FF0000"/>
          <w:sz w:val="24"/>
          <w:lang w:val="en-GB"/>
        </w:rPr>
        <w:t xml:space="preserve">method. </w:t>
      </w:r>
    </w:p>
    <w:bookmarkEnd w:id="3"/>
    <w:p>
      <w:pPr>
        <w:spacing w:line="360" w:lineRule="auto"/>
        <w:rPr>
          <w:rFonts w:ascii="Times New Roman" w:hAnsi="Times New Roman" w:cs="Times New Roman"/>
          <w:b/>
          <w:sz w:val="24"/>
          <w:lang w:val="en-GB"/>
        </w:rPr>
      </w:pPr>
      <w:r>
        <w:rPr>
          <w:rFonts w:ascii="Times New Roman" w:hAnsi="Times New Roman" w:cs="Times New Roman"/>
          <w:b/>
          <w:sz w:val="24"/>
          <w:lang w:val="en-GB"/>
        </w:rPr>
        <w:t>Cell proliferation assay</w:t>
      </w:r>
    </w:p>
    <w:p>
      <w:pPr>
        <w:spacing w:line="360" w:lineRule="auto"/>
        <w:rPr>
          <w:rFonts w:ascii="Times New Roman" w:hAnsi="Times New Roman" w:cs="Times New Roman"/>
          <w:sz w:val="24"/>
        </w:rPr>
      </w:pPr>
      <w:r>
        <w:rPr>
          <w:rFonts w:ascii="Times New Roman" w:hAnsi="Times New Roman" w:cs="Times New Roman"/>
          <w:sz w:val="24"/>
          <w:lang w:val="en-GB"/>
        </w:rPr>
        <w:t>Cells were seeded into six-well plates at a density of 100,000 per well in 2 ml of medium supplemented with 10% FBS. The medium was changed every day. The dead cells were stained with trypan blue at the indicated time points and their number was determined by counting using an automated cell count kit.</w:t>
      </w:r>
      <w:r>
        <w:rPr>
          <w:rFonts w:hint="eastAsia" w:ascii="Times New Roman" w:hAnsi="Times New Roman" w:cs="Times New Roman"/>
          <w:sz w:val="24"/>
        </w:rPr>
        <w:t xml:space="preserve"> </w:t>
      </w:r>
    </w:p>
    <w:p>
      <w:pPr>
        <w:spacing w:line="360" w:lineRule="auto"/>
        <w:rPr>
          <w:rFonts w:ascii="Times New Roman" w:hAnsi="Times New Roman" w:cs="Times New Roman"/>
          <w:b/>
          <w:sz w:val="24"/>
          <w:lang w:val="en-GB"/>
        </w:rPr>
      </w:pPr>
      <w:r>
        <w:rPr>
          <w:rFonts w:ascii="Times New Roman" w:hAnsi="Times New Roman" w:cs="Times New Roman"/>
          <w:b/>
          <w:sz w:val="24"/>
          <w:lang w:val="en-GB"/>
        </w:rPr>
        <w:t>Colony formation assay</w:t>
      </w:r>
    </w:p>
    <w:p>
      <w:pPr>
        <w:spacing w:line="360" w:lineRule="auto"/>
        <w:rPr>
          <w:rFonts w:ascii="Times New Roman" w:hAnsi="Times New Roman" w:cs="Times New Roman"/>
          <w:sz w:val="24"/>
          <w:lang w:val="en-GB"/>
        </w:rPr>
      </w:pPr>
      <w:r>
        <w:rPr>
          <w:rFonts w:ascii="Times New Roman" w:hAnsi="Times New Roman" w:cs="Times New Roman"/>
          <w:sz w:val="24"/>
          <w:lang w:val="en-GB"/>
        </w:rPr>
        <w:t>Cells were seeded at 400 cells/mL in six-well plates for 10 days and the medium was replaced with fresh medium every 3 days. Cells were stained with crystal violet. Colonies containing ≥ 50 cells were counted.</w:t>
      </w:r>
    </w:p>
    <w:p>
      <w:pPr>
        <w:spacing w:line="360" w:lineRule="auto"/>
        <w:rPr>
          <w:rFonts w:ascii="Times New Roman" w:hAnsi="Times New Roman" w:cs="Times New Roman"/>
          <w:b/>
          <w:sz w:val="24"/>
          <w:lang w:val="en-GB"/>
        </w:rPr>
      </w:pPr>
      <w:r>
        <w:rPr>
          <w:rFonts w:ascii="Times New Roman" w:hAnsi="Times New Roman" w:cs="Times New Roman"/>
          <w:b/>
          <w:sz w:val="24"/>
          <w:lang w:val="en-GB"/>
        </w:rPr>
        <w:t>Transwell invasion assay</w:t>
      </w:r>
    </w:p>
    <w:p>
      <w:pPr>
        <w:spacing w:line="360" w:lineRule="auto"/>
        <w:rPr>
          <w:rFonts w:ascii="Times New Roman" w:hAnsi="Times New Roman" w:cs="Times New Roman"/>
          <w:sz w:val="24"/>
          <w:lang w:val="en-GB"/>
        </w:rPr>
      </w:pPr>
      <w:r>
        <w:rPr>
          <w:rFonts w:ascii="Times New Roman" w:hAnsi="Times New Roman" w:cs="Times New Roman"/>
          <w:sz w:val="24"/>
          <w:lang w:val="en-GB"/>
        </w:rPr>
        <w:t xml:space="preserve">The invasiveness of cells was analysed using the Boyden Chamber (BD Biosciences) assay. Briefly, the Transwell membranes were coated with Matrigel and DMEM containing 10% foetal bovine serum was added to the lower chamber. Cell solution containing serum-free medium was added on top of the Matrigel coating membrane. After 24 h of incubation, the filter was gently removed from the chamber and migrating cells were stained with crystal violet. </w:t>
      </w:r>
    </w:p>
    <w:p>
      <w:pPr>
        <w:spacing w:line="360" w:lineRule="auto"/>
        <w:rPr>
          <w:rFonts w:ascii="Times New Roman" w:hAnsi="Times New Roman" w:cs="Times New Roman"/>
          <w:b/>
          <w:color w:val="FF0000"/>
          <w:sz w:val="24"/>
          <w:lang w:val="en-GB"/>
        </w:rPr>
      </w:pPr>
      <w:r>
        <w:rPr>
          <w:rFonts w:ascii="Times New Roman" w:hAnsi="Times New Roman" w:cs="Times New Roman"/>
          <w:b/>
          <w:color w:val="FF0000"/>
          <w:sz w:val="24"/>
          <w:lang w:val="en-GB"/>
        </w:rPr>
        <w:t xml:space="preserve">Gene Set Enrichment Analysis (GSEA) </w:t>
      </w:r>
    </w:p>
    <w:p>
      <w:pPr>
        <w:spacing w:line="360" w:lineRule="auto"/>
        <w:rPr>
          <w:rFonts w:ascii="Times New Roman" w:hAnsi="Times New Roman" w:cs="Times New Roman"/>
          <w:color w:val="FF0000"/>
          <w:sz w:val="24"/>
          <w:lang w:val="en-GB"/>
        </w:rPr>
      </w:pPr>
      <w:r>
        <w:rPr>
          <w:rFonts w:hint="eastAsia" w:ascii="Times New Roman" w:hAnsi="Times New Roman" w:cs="Times New Roman"/>
          <w:color w:val="FF0000"/>
          <w:sz w:val="24"/>
          <w:lang w:val="en-US" w:eastAsia="zh-CN"/>
        </w:rPr>
        <w:t>Briefly</w:t>
      </w:r>
      <w:r>
        <w:rPr>
          <w:rFonts w:hint="eastAsia" w:ascii="Times New Roman" w:hAnsi="Times New Roman" w:cs="Times New Roman"/>
          <w:color w:val="FF0000"/>
          <w:sz w:val="24"/>
          <w:lang w:val="en-GB"/>
        </w:rPr>
        <w:t xml:space="preserve">, login the </w:t>
      </w:r>
      <w:r>
        <w:rPr>
          <w:rFonts w:hint="eastAsia" w:ascii="Times New Roman" w:hAnsi="Times New Roman" w:cs="Times New Roman"/>
          <w:color w:val="FF0000"/>
          <w:sz w:val="24"/>
          <w:lang w:val="en-US" w:eastAsia="zh-CN"/>
        </w:rPr>
        <w:t>GDC</w:t>
      </w:r>
      <w:r>
        <w:rPr>
          <w:rFonts w:hint="eastAsia" w:ascii="Times New Roman" w:hAnsi="Times New Roman" w:cs="Times New Roman"/>
          <w:color w:val="FF0000"/>
          <w:sz w:val="24"/>
          <w:lang w:val="en-GB"/>
        </w:rPr>
        <w:t xml:space="preserve"> Data Portal (https://portal.gdc.cancer.gov/) to download pan-cancer tumo</w:t>
      </w:r>
      <w:r>
        <w:rPr>
          <w:rFonts w:ascii="Times New Roman" w:hAnsi="Times New Roman" w:cs="Times New Roman"/>
          <w:color w:val="FF0000"/>
          <w:sz w:val="24"/>
          <w:lang w:val="en-GB"/>
        </w:rPr>
        <w:t>ur</w:t>
      </w:r>
      <w:r>
        <w:rPr>
          <w:rFonts w:hint="eastAsia" w:ascii="Times New Roman" w:hAnsi="Times New Roman" w:cs="Times New Roman"/>
          <w:color w:val="FF0000"/>
          <w:sz w:val="24"/>
          <w:lang w:val="en-GB"/>
        </w:rPr>
        <w:t xml:space="preserve"> gene expression data sets. Next download the S100A11 functional gene set (http://www.gsea-msigdb.org/gsea/downloads.jsp). The biological functions of the S100A11-driven genes were clarified using GSEA (http://software.broadinstitute.org/gsea/index.jsp). The degree of enrichment and statistical significance were quantified using normalised enrichment score (NES), nominal </w:t>
      </w:r>
      <w:r>
        <w:rPr>
          <w:rFonts w:hint="eastAsia" w:ascii="Times New Roman" w:hAnsi="Times New Roman" w:cs="Times New Roman"/>
          <w:i/>
          <w:iCs/>
          <w:color w:val="FF0000"/>
          <w:sz w:val="24"/>
          <w:lang w:val="en-GB"/>
        </w:rPr>
        <w:t>P</w:t>
      </w:r>
      <w:r>
        <w:rPr>
          <w:rFonts w:hint="eastAsia" w:ascii="Times New Roman" w:hAnsi="Times New Roman" w:cs="Times New Roman"/>
          <w:color w:val="FF0000"/>
          <w:sz w:val="24"/>
          <w:lang w:val="en-GB"/>
        </w:rPr>
        <w:t>-value, and FDR. Kyoto Encyclopedia of Genes and Genomes (KEGG) pathway analysis was conducted using GSEA software v3.0 (www.broadinstitute.org/gsea).</w:t>
      </w:r>
    </w:p>
    <w:p>
      <w:pPr>
        <w:spacing w:line="360" w:lineRule="auto"/>
        <w:rPr>
          <w:rFonts w:ascii="Times New Roman" w:hAnsi="Times New Roman" w:cs="Times New Roman"/>
          <w:bCs/>
          <w:i/>
          <w:iCs/>
          <w:sz w:val="24"/>
          <w:lang w:val="en-GB"/>
        </w:rPr>
      </w:pPr>
      <w:r>
        <w:rPr>
          <w:rFonts w:ascii="Times New Roman" w:hAnsi="Times New Roman" w:cs="Times New Roman"/>
          <w:b/>
          <w:sz w:val="24"/>
          <w:lang w:val="en-GB"/>
        </w:rPr>
        <w:t>EdU incorporation assay</w:t>
      </w:r>
    </w:p>
    <w:p>
      <w:pPr>
        <w:spacing w:line="360" w:lineRule="auto"/>
        <w:rPr>
          <w:rFonts w:ascii="Times New Roman" w:hAnsi="Times New Roman" w:cs="Times New Roman"/>
          <w:sz w:val="24"/>
          <w:lang w:val="en-GB"/>
        </w:rPr>
      </w:pPr>
      <w:r>
        <w:rPr>
          <w:rFonts w:ascii="Times New Roman" w:hAnsi="Times New Roman" w:cs="Times New Roman"/>
          <w:sz w:val="24"/>
          <w:lang w:val="en-GB"/>
        </w:rPr>
        <w:t>De novo DNA synthesis was determined using Click-iT Edu Assay Kit (Invitrogen). Briefly, PDAC cells were incubated with 10 μM EdU for 4 h. After fixation, incorporated Edu was labelled with Alexa Fluor 555 azide in the provided reaction buffer for 30 min, and the nuclei were counterstained with DAPI.</w:t>
      </w:r>
    </w:p>
    <w:p>
      <w:pPr>
        <w:spacing w:line="360" w:lineRule="auto"/>
        <w:rPr>
          <w:rFonts w:ascii="Times New Roman" w:hAnsi="Times New Roman" w:cs="Times New Roman"/>
          <w:bCs/>
          <w:i/>
          <w:iCs/>
          <w:sz w:val="24"/>
          <w:lang w:val="en-GB"/>
        </w:rPr>
      </w:pPr>
      <w:r>
        <w:rPr>
          <w:rFonts w:ascii="Times New Roman" w:hAnsi="Times New Roman" w:cs="Times New Roman"/>
          <w:b/>
          <w:sz w:val="24"/>
          <w:lang w:val="en-GB"/>
        </w:rPr>
        <w:t>Immunofluorescence assay</w:t>
      </w:r>
    </w:p>
    <w:p>
      <w:pPr>
        <w:spacing w:line="360" w:lineRule="auto"/>
        <w:rPr>
          <w:rFonts w:ascii="Times New Roman" w:hAnsi="Times New Roman" w:cs="Times New Roman"/>
          <w:sz w:val="24"/>
          <w:lang w:val="en-GB"/>
        </w:rPr>
      </w:pPr>
      <w:r>
        <w:rPr>
          <w:rFonts w:ascii="Times New Roman" w:hAnsi="Times New Roman" w:cs="Times New Roman"/>
          <w:sz w:val="24"/>
          <w:lang w:val="en-GB"/>
        </w:rPr>
        <w:t>Cells were fixed with 4% paraformaldehyde/phosphate-buffered saline, permeabilised using 0.5% Saponin and 0.5% Triton X-100, and blocked with 3% bovine serum albumin (Roche), prior to indirect immunofluorescence labelling. Unconjugated primary antibodies were used at 1:400 dilution. Confocal imaging of labelled cells was performed using a TCS SP5 X supercontinuum microscope (Leica Microsystems).</w:t>
      </w:r>
    </w:p>
    <w:p>
      <w:pPr>
        <w:spacing w:line="360" w:lineRule="auto"/>
        <w:rPr>
          <w:rFonts w:ascii="Times New Roman" w:hAnsi="Times New Roman" w:cs="Times New Roman"/>
          <w:b/>
          <w:sz w:val="24"/>
          <w:lang w:val="en-GB"/>
        </w:rPr>
      </w:pPr>
      <w:r>
        <w:rPr>
          <w:rFonts w:ascii="Times New Roman" w:hAnsi="Times New Roman" w:cs="Times New Roman"/>
          <w:b/>
          <w:sz w:val="24"/>
          <w:lang w:val="en-GB"/>
        </w:rPr>
        <w:t>Dual-luciferase reporter assay</w:t>
      </w:r>
    </w:p>
    <w:p>
      <w:pPr>
        <w:spacing w:line="360" w:lineRule="auto"/>
        <w:rPr>
          <w:rFonts w:hint="eastAsia" w:ascii="Times New Roman" w:hAnsi="Times New Roman" w:cs="Times New Roman"/>
          <w:strike w:val="0"/>
          <w:dstrike w:val="0"/>
          <w:color w:val="000000" w:themeColor="text1"/>
          <w:sz w:val="24"/>
          <w14:textFill>
            <w14:solidFill>
              <w14:schemeClr w14:val="tx1"/>
            </w14:solidFill>
          </w14:textFill>
        </w:rPr>
      </w:pPr>
      <w:r>
        <w:rPr>
          <w:rFonts w:ascii="Times New Roman" w:hAnsi="Times New Roman" w:cs="Times New Roman"/>
          <w:sz w:val="24"/>
          <w:lang w:val="en-GB"/>
        </w:rPr>
        <w:t xml:space="preserve">The </w:t>
      </w:r>
      <w:r>
        <w:rPr>
          <w:rFonts w:ascii="Times New Roman" w:hAnsi="Times New Roman" w:cs="Times New Roman"/>
          <w:i/>
          <w:iCs/>
          <w:sz w:val="24"/>
          <w:lang w:val="en-GB"/>
        </w:rPr>
        <w:t>TKT</w:t>
      </w:r>
      <w:r>
        <w:rPr>
          <w:rFonts w:ascii="Times New Roman" w:hAnsi="Times New Roman" w:cs="Times New Roman"/>
          <w:sz w:val="24"/>
          <w:lang w:val="en-GB"/>
        </w:rPr>
        <w:t xml:space="preserve"> promoter flanking the </w:t>
      </w:r>
      <w:r>
        <w:rPr>
          <w:rFonts w:ascii="Times New Roman" w:hAnsi="Times New Roman" w:cs="Times New Roman"/>
          <w:sz w:val="24"/>
          <w:lang w:val="en-GB"/>
        </w:rPr>
        <w:sym w:font="Symbol" w:char="F02D"/>
      </w:r>
      <w:r>
        <w:rPr>
          <w:rFonts w:ascii="Times New Roman" w:hAnsi="Times New Roman" w:cs="Times New Roman"/>
          <w:sz w:val="24"/>
          <w:lang w:val="en-GB"/>
        </w:rPr>
        <w:t xml:space="preserve">1367/+77 region was inserted into the promoter-free pGL4 luciferase vector (Promega). SV40 (positive control) and </w:t>
      </w:r>
      <w:r>
        <w:rPr>
          <w:rFonts w:ascii="Times New Roman" w:hAnsi="Times New Roman" w:cs="Times New Roman"/>
          <w:i/>
          <w:iCs/>
          <w:sz w:val="24"/>
          <w:lang w:val="en-GB"/>
        </w:rPr>
        <w:t>TKT</w:t>
      </w:r>
      <w:r>
        <w:rPr>
          <w:rFonts w:ascii="Times New Roman" w:hAnsi="Times New Roman" w:cs="Times New Roman"/>
          <w:sz w:val="24"/>
          <w:lang w:val="en-GB"/>
        </w:rPr>
        <w:t xml:space="preserve">-luc were co-transfected with an internal control, </w:t>
      </w:r>
      <w:r>
        <w:rPr>
          <w:rFonts w:ascii="Times New Roman" w:hAnsi="Times New Roman" w:cs="Times New Roman"/>
          <w:i/>
          <w:iCs/>
          <w:sz w:val="24"/>
          <w:lang w:val="en-GB"/>
        </w:rPr>
        <w:t>Renilla</w:t>
      </w:r>
      <w:r>
        <w:rPr>
          <w:rFonts w:ascii="Times New Roman" w:hAnsi="Times New Roman" w:cs="Times New Roman"/>
          <w:sz w:val="24"/>
          <w:lang w:val="en-GB"/>
        </w:rPr>
        <w:t xml:space="preserve"> luciferase vector (Promega), into PDAC cells. Luciferase activity was detected overnight after transfection by the Dual-Luciferase Reporter Assay System (Promega), in accordance with the manufacturer’s instructions. Firefly luciferase (FFL) activity was normalised by </w:t>
      </w:r>
      <w:r>
        <w:rPr>
          <w:rFonts w:ascii="Times New Roman" w:hAnsi="Times New Roman" w:cs="Times New Roman"/>
          <w:i/>
          <w:iCs/>
          <w:sz w:val="24"/>
          <w:lang w:val="en-GB"/>
        </w:rPr>
        <w:t>Renilla</w:t>
      </w:r>
      <w:r>
        <w:rPr>
          <w:rFonts w:ascii="Times New Roman" w:hAnsi="Times New Roman" w:cs="Times New Roman"/>
          <w:sz w:val="24"/>
          <w:lang w:val="en-GB"/>
        </w:rPr>
        <w:t xml:space="preserve"> (RL) activity, yielding the relative activity (RLU). </w:t>
      </w:r>
      <w:bookmarkStart w:id="4" w:name="_GoBack"/>
      <w:bookmarkEnd w:id="4"/>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Bold">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1C3828"/>
    <w:rsid w:val="021138F7"/>
    <w:rsid w:val="02A97D1C"/>
    <w:rsid w:val="035F2024"/>
    <w:rsid w:val="04F005F5"/>
    <w:rsid w:val="0D6B4803"/>
    <w:rsid w:val="10C5422A"/>
    <w:rsid w:val="171C3828"/>
    <w:rsid w:val="29272FC4"/>
    <w:rsid w:val="348317AC"/>
    <w:rsid w:val="3B9052B1"/>
    <w:rsid w:val="3EC41777"/>
    <w:rsid w:val="3F0705C1"/>
    <w:rsid w:val="415574F0"/>
    <w:rsid w:val="4B8C08D1"/>
    <w:rsid w:val="4FF52BAA"/>
    <w:rsid w:val="56865B9F"/>
    <w:rsid w:val="65150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List Table 6 Colorful"/>
    <w:basedOn w:val="2"/>
    <w:qFormat/>
    <w:uiPriority w:val="51"/>
    <w:rPr>
      <w:rFonts w:asciiTheme="minorHAnsi" w:hAnsiTheme="minorHAnsi" w:eastAsiaTheme="minorEastAsia"/>
      <w:color w:val="000000" w:themeColor="text1"/>
      <w:sz w:val="21"/>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925</Words>
  <Characters>5798</Characters>
  <Lines>0</Lines>
  <Paragraphs>0</Paragraphs>
  <TotalTime>1</TotalTime>
  <ScaleCrop>false</ScaleCrop>
  <LinksUpToDate>false</LinksUpToDate>
  <CharactersWithSpaces>6629</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2022-03-23T01:09:00Z</dcterms:created>
  <dc:creator>曾雪</dc:creator>
  <cp:lastModifiedBy>曾雪</cp:lastModifiedBy>
  <dcterms:modified xsi:type="dcterms:W3CDTF">2022-05-04T11:58:32Z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2A624AC744B14BE1AE56621E26CBA079</vt:lpwstr>
  </property>
</Properties>
</file>