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FEBB6" w14:textId="77777777" w:rsidR="002123BC" w:rsidRPr="002123BC" w:rsidRDefault="002123BC" w:rsidP="002123BC">
      <w:pPr>
        <w:tabs>
          <w:tab w:val="left" w:pos="2624"/>
        </w:tabs>
        <w:rPr>
          <w:rFonts w:ascii="Arial" w:hAnsi="Arial" w:cs="Arial"/>
          <w:b/>
        </w:rPr>
      </w:pPr>
      <w:r w:rsidRPr="002123BC">
        <w:rPr>
          <w:rFonts w:ascii="Arial" w:hAnsi="Arial" w:cs="Arial"/>
          <w:bCs/>
          <w:color w:val="000000"/>
        </w:rPr>
        <w:t>Supplemental Fig.1</w:t>
      </w:r>
      <w:r w:rsidRPr="002123BC">
        <w:rPr>
          <w:rFonts w:ascii="Arial" w:hAnsi="Arial" w:cs="Arial"/>
          <w:b/>
          <w:bCs/>
          <w:color w:val="000000"/>
        </w:rPr>
        <w:t xml:space="preserve"> Gemcitabine treatment induced an EMT phenotype and CD44 expression with an isoform switching in AsPC1/GS cells</w:t>
      </w:r>
      <w:r w:rsidRPr="002123BC">
        <w:rPr>
          <w:rFonts w:ascii="Arial" w:hAnsi="Arial" w:cs="Arial"/>
          <w:color w:val="000000"/>
        </w:rPr>
        <w:t>.</w:t>
      </w:r>
      <w:r w:rsidRPr="002123BC">
        <w:rPr>
          <w:rFonts w:ascii="Arial" w:hAnsi="Arial" w:cs="Arial"/>
          <w:b/>
          <w:bCs/>
          <w:color w:val="000000"/>
        </w:rPr>
        <w:t xml:space="preserve">  </w:t>
      </w:r>
      <w:r w:rsidRPr="002123BC">
        <w:rPr>
          <w:rFonts w:ascii="Arial" w:hAnsi="Arial" w:cs="Arial"/>
          <w:bCs/>
          <w:color w:val="000000"/>
        </w:rPr>
        <w:t>AsPC1/GS cells were treated with elevated doses of gemcitabine weekly as indicated.</w:t>
      </w:r>
      <w:r w:rsidRPr="002123BC">
        <w:rPr>
          <w:rFonts w:ascii="Arial" w:hAnsi="Arial" w:cs="Arial"/>
        </w:rPr>
        <w:t xml:space="preserve"> </w:t>
      </w:r>
      <w:r w:rsidRPr="002123BC">
        <w:rPr>
          <w:rFonts w:ascii="Arial" w:hAnsi="Arial" w:cs="Arial"/>
          <w:b/>
        </w:rPr>
        <w:t>a</w:t>
      </w:r>
      <w:r w:rsidRPr="002123BC">
        <w:rPr>
          <w:rFonts w:ascii="Arial" w:hAnsi="Arial" w:cs="Arial"/>
        </w:rPr>
        <w:t xml:space="preserve"> </w:t>
      </w:r>
      <w:r w:rsidRPr="002123BC">
        <w:rPr>
          <w:rFonts w:ascii="Arial" w:hAnsi="Arial" w:cs="Arial"/>
          <w:bCs/>
          <w:color w:val="000000"/>
        </w:rPr>
        <w:t xml:space="preserve">Western blot analysis for the expression of CD44 isoforms and EMT marker proteins. </w:t>
      </w:r>
      <w:r w:rsidRPr="002123BC">
        <w:rPr>
          <w:rFonts w:ascii="Arial" w:hAnsi="Arial" w:cs="Arial"/>
          <w:b/>
          <w:bCs/>
          <w:color w:val="000000"/>
        </w:rPr>
        <w:t>b</w:t>
      </w:r>
      <w:r w:rsidRPr="002123BC">
        <w:rPr>
          <w:rFonts w:ascii="Arial" w:hAnsi="Arial" w:cs="Arial"/>
          <w:bCs/>
          <w:color w:val="000000"/>
        </w:rPr>
        <w:t xml:space="preserve"> Western blot analysis for the expression of p-IGF1R and transcriptional factors.</w:t>
      </w:r>
    </w:p>
    <w:p w14:paraId="3F828866" w14:textId="77777777" w:rsidR="002123BC" w:rsidRPr="002123BC" w:rsidRDefault="002123BC" w:rsidP="002123BC">
      <w:pPr>
        <w:tabs>
          <w:tab w:val="left" w:pos="2624"/>
        </w:tabs>
        <w:rPr>
          <w:rFonts w:ascii="Arial" w:hAnsi="Arial" w:cs="Arial"/>
          <w:bCs/>
          <w:color w:val="000000"/>
        </w:rPr>
      </w:pPr>
    </w:p>
    <w:p w14:paraId="0DB77E62" w14:textId="77777777" w:rsidR="002123BC" w:rsidRPr="002123BC" w:rsidRDefault="002123BC" w:rsidP="002123BC">
      <w:pPr>
        <w:tabs>
          <w:tab w:val="left" w:pos="2624"/>
        </w:tabs>
        <w:rPr>
          <w:rFonts w:ascii="Arial" w:hAnsi="Arial" w:cs="Arial"/>
          <w:bCs/>
          <w:color w:val="000000"/>
        </w:rPr>
      </w:pPr>
      <w:r w:rsidRPr="002123BC">
        <w:rPr>
          <w:rFonts w:ascii="Arial" w:hAnsi="Arial" w:cs="Arial"/>
          <w:bCs/>
          <w:color w:val="000000"/>
        </w:rPr>
        <w:t xml:space="preserve">Supplemental Fig. 2 </w:t>
      </w:r>
      <w:r w:rsidRPr="002123BC">
        <w:rPr>
          <w:rFonts w:ascii="Arial" w:hAnsi="Arial" w:cs="Arial"/>
          <w:b/>
          <w:bCs/>
          <w:color w:val="000000"/>
        </w:rPr>
        <w:t xml:space="preserve">Pathway inhibitors blocked IGF1-induced activation of </w:t>
      </w:r>
      <w:r w:rsidRPr="002123BC">
        <w:rPr>
          <w:rFonts w:ascii="Arial" w:hAnsi="Arial" w:cs="Arial"/>
          <w:b/>
          <w:bCs/>
        </w:rPr>
        <w:t>their molecular targets</w:t>
      </w:r>
      <w:r w:rsidRPr="002123BC">
        <w:rPr>
          <w:rFonts w:ascii="Arial" w:hAnsi="Arial" w:cs="Arial"/>
          <w:b/>
          <w:bCs/>
          <w:color w:val="000000"/>
        </w:rPr>
        <w:t>.</w:t>
      </w:r>
      <w:r w:rsidRPr="002123BC">
        <w:rPr>
          <w:rFonts w:ascii="Arial" w:hAnsi="Arial" w:cs="Arial"/>
          <w:bCs/>
          <w:color w:val="000000"/>
        </w:rPr>
        <w:t xml:space="preserve"> GS cells were serum-starved overnight and treated with different pathway inhibitors (50 </w:t>
      </w:r>
      <w:proofErr w:type="spellStart"/>
      <w:r w:rsidRPr="002123BC">
        <w:rPr>
          <w:rFonts w:ascii="Arial" w:hAnsi="Arial" w:cs="Arial"/>
          <w:bCs/>
          <w:color w:val="000000"/>
        </w:rPr>
        <w:t>nM</w:t>
      </w:r>
      <w:proofErr w:type="spellEnd"/>
      <w:r w:rsidRPr="002123BC">
        <w:rPr>
          <w:rFonts w:ascii="Arial" w:hAnsi="Arial" w:cs="Arial"/>
          <w:bCs/>
          <w:color w:val="000000"/>
        </w:rPr>
        <w:t xml:space="preserve"> OSI906; 10 </w:t>
      </w:r>
      <w:proofErr w:type="spellStart"/>
      <w:r w:rsidRPr="002123BC">
        <w:rPr>
          <w:rFonts w:ascii="Arial" w:hAnsi="Arial" w:cs="Arial"/>
          <w:bCs/>
          <w:color w:val="000000"/>
        </w:rPr>
        <w:t>μM</w:t>
      </w:r>
      <w:proofErr w:type="spellEnd"/>
      <w:r w:rsidRPr="002123BC">
        <w:rPr>
          <w:rFonts w:ascii="Arial" w:hAnsi="Arial" w:cs="Arial"/>
          <w:bCs/>
          <w:color w:val="000000"/>
        </w:rPr>
        <w:t xml:space="preserve"> LY</w:t>
      </w:r>
      <w:r w:rsidRPr="002123BC">
        <w:rPr>
          <w:rFonts w:ascii="Arial" w:hAnsi="Arial" w:cs="Arial"/>
          <w:color w:val="000000"/>
        </w:rPr>
        <w:t>294002</w:t>
      </w:r>
      <w:r w:rsidRPr="002123BC">
        <w:rPr>
          <w:rFonts w:ascii="Arial" w:hAnsi="Arial" w:cs="Arial"/>
          <w:bCs/>
          <w:color w:val="000000"/>
        </w:rPr>
        <w:t xml:space="preserve">; 5 </w:t>
      </w:r>
      <w:proofErr w:type="spellStart"/>
      <w:r w:rsidRPr="002123BC">
        <w:rPr>
          <w:rFonts w:ascii="Arial" w:hAnsi="Arial" w:cs="Arial"/>
          <w:bCs/>
          <w:color w:val="000000"/>
        </w:rPr>
        <w:t>μM</w:t>
      </w:r>
      <w:proofErr w:type="spellEnd"/>
      <w:r w:rsidRPr="002123BC">
        <w:rPr>
          <w:rFonts w:ascii="Arial" w:hAnsi="Arial" w:cs="Arial"/>
          <w:bCs/>
          <w:color w:val="000000"/>
        </w:rPr>
        <w:t xml:space="preserve"> U0126 for 2 hours, then stimulated with 20 ng/ml IGF1 for another one hour. Cell lysates were analyzed by Western blot with antibodies as indicated. Inhibitors blocked the IGF1 induced phosphorylation of its downstream molecules is shown.</w:t>
      </w:r>
    </w:p>
    <w:p w14:paraId="53783A76" w14:textId="77777777" w:rsidR="002123BC" w:rsidRPr="002123BC" w:rsidRDefault="002123BC" w:rsidP="002123BC">
      <w:pPr>
        <w:tabs>
          <w:tab w:val="left" w:pos="2624"/>
        </w:tabs>
        <w:rPr>
          <w:rFonts w:ascii="Arial" w:hAnsi="Arial" w:cs="Arial"/>
          <w:bCs/>
          <w:color w:val="000000"/>
        </w:rPr>
      </w:pPr>
    </w:p>
    <w:p w14:paraId="466797EF" w14:textId="77777777" w:rsidR="002123BC" w:rsidRDefault="002123BC" w:rsidP="002123BC">
      <w:pPr>
        <w:tabs>
          <w:tab w:val="left" w:pos="2624"/>
        </w:tabs>
        <w:rPr>
          <w:rFonts w:ascii="Arial" w:hAnsi="Arial" w:cs="Times Roman"/>
          <w:bCs/>
          <w:color w:val="000000"/>
        </w:rPr>
      </w:pPr>
      <w:r w:rsidRPr="002123BC">
        <w:rPr>
          <w:rFonts w:ascii="Arial" w:hAnsi="Arial" w:cs="Arial"/>
          <w:bCs/>
          <w:color w:val="000000"/>
        </w:rPr>
        <w:t xml:space="preserve">Supplemental Fig. 3 </w:t>
      </w:r>
      <w:r w:rsidRPr="002123BC">
        <w:rPr>
          <w:rFonts w:ascii="Arial" w:hAnsi="Arial" w:cs="Arial"/>
          <w:b/>
          <w:bCs/>
          <w:color w:val="000000"/>
        </w:rPr>
        <w:t>Inhibition of IGF1R signaling by PPP sensitized GR cells to gemcitabine and blocked IGF1 induced CD44 promoter activity.</w:t>
      </w:r>
      <w:r w:rsidRPr="002123BC">
        <w:rPr>
          <w:rFonts w:ascii="Arial" w:hAnsi="Arial" w:cs="Arial"/>
          <w:bCs/>
          <w:color w:val="000000"/>
        </w:rPr>
        <w:t xml:space="preserve"> </w:t>
      </w:r>
      <w:r w:rsidRPr="002123BC">
        <w:rPr>
          <w:rFonts w:ascii="Arial" w:hAnsi="Arial" w:cs="Arial"/>
          <w:b/>
          <w:color w:val="000000"/>
        </w:rPr>
        <w:t>a.</w:t>
      </w:r>
      <w:r w:rsidRPr="002123BC">
        <w:rPr>
          <w:rFonts w:ascii="Arial" w:hAnsi="Arial" w:cs="Arial"/>
          <w:bCs/>
          <w:color w:val="000000"/>
        </w:rPr>
        <w:t xml:space="preserve"> </w:t>
      </w:r>
      <w:r w:rsidRPr="002123BC">
        <w:rPr>
          <w:rFonts w:ascii="Arial" w:hAnsi="Arial" w:cs="Times Roman"/>
          <w:bCs/>
          <w:color w:val="000000"/>
        </w:rPr>
        <w:t xml:space="preserve">Cell proliferation rate was measured by MTT assays in GR and GS cells treated with gemcitabine and the combination of gemcitabine and different IGF1R inhibitors for 3 days. The data were represented as mean </w:t>
      </w:r>
      <w:r w:rsidRPr="002123BC">
        <w:rPr>
          <w:rFonts w:ascii="Arial" w:hAnsi="Arial" w:cs="Arial"/>
          <w:bCs/>
          <w:color w:val="000000"/>
        </w:rPr>
        <w:t xml:space="preserve">± </w:t>
      </w:r>
      <w:r w:rsidRPr="002123BC">
        <w:rPr>
          <w:rFonts w:ascii="Arial" w:hAnsi="Arial" w:cs="Times Roman"/>
          <w:bCs/>
          <w:color w:val="000000"/>
        </w:rPr>
        <w:t xml:space="preserve">SD in 6 replicates experiments. </w:t>
      </w:r>
      <w:r w:rsidRPr="002123BC">
        <w:rPr>
          <w:rFonts w:ascii="Arial" w:hAnsi="Arial" w:cs="Times Roman"/>
          <w:b/>
          <w:color w:val="000000"/>
        </w:rPr>
        <w:t>b</w:t>
      </w:r>
      <w:r w:rsidRPr="002123BC">
        <w:rPr>
          <w:rFonts w:ascii="Arial" w:hAnsi="Arial" w:cs="Times Roman"/>
          <w:bCs/>
          <w:color w:val="000000"/>
        </w:rPr>
        <w:t>.</w:t>
      </w:r>
      <w:r>
        <w:rPr>
          <w:rFonts w:ascii="Arial" w:hAnsi="Arial" w:cs="Times Roman"/>
          <w:bCs/>
          <w:color w:val="000000"/>
        </w:rPr>
        <w:t xml:space="preserve"> </w:t>
      </w:r>
      <w:r w:rsidRPr="002123BC">
        <w:rPr>
          <w:rFonts w:ascii="Arial" w:hAnsi="Arial" w:cs="Times Roman"/>
          <w:bCs/>
          <w:color w:val="000000"/>
        </w:rPr>
        <w:t>GS/CD44p-Luc cells (5x10</w:t>
      </w:r>
      <w:r w:rsidRPr="002123BC">
        <w:rPr>
          <w:rFonts w:ascii="Arial" w:hAnsi="Arial" w:cs="Times Roman"/>
          <w:bCs/>
          <w:color w:val="000000"/>
          <w:vertAlign w:val="superscript"/>
        </w:rPr>
        <w:t>4</w:t>
      </w:r>
      <w:r w:rsidRPr="002123BC">
        <w:rPr>
          <w:rFonts w:ascii="Arial" w:hAnsi="Arial" w:cs="Times Roman"/>
          <w:bCs/>
          <w:color w:val="000000"/>
        </w:rPr>
        <w:t>/well) were plated in a 24 well plate and serum-starved overnight. Cells were then pre-treated with inhibitors OSI 906 (100nM) or PPP (5</w:t>
      </w:r>
      <w:r w:rsidRPr="002123BC">
        <w:rPr>
          <w:rFonts w:ascii="Arial" w:hAnsi="Arial" w:cs="Times Roman"/>
          <w:bCs/>
          <w:color w:val="000000"/>
        </w:rPr>
        <w:sym w:font="Symbol" w:char="F06D"/>
      </w:r>
      <w:r w:rsidRPr="002123BC">
        <w:rPr>
          <w:rFonts w:ascii="Arial" w:hAnsi="Arial" w:cs="Times Roman"/>
          <w:bCs/>
          <w:color w:val="000000"/>
        </w:rPr>
        <w:t xml:space="preserve">M) for 2 hours followed by adding IGF1 (20 ng/ml) for 48 hours. Conditioned media were collected and luciferase activities and alkaline phosphatase activities were measured using </w:t>
      </w:r>
      <w:r w:rsidRPr="002123BC">
        <w:rPr>
          <w:rFonts w:ascii="Arial" w:hAnsi="Arial" w:cs="Arial"/>
          <w:bCs/>
          <w:color w:val="000000"/>
        </w:rPr>
        <w:t xml:space="preserve">Secrete-Pair Dual Luminescence Assay Kit according to the protocol. Data were presented as </w:t>
      </w:r>
      <w:r w:rsidRPr="002123BC">
        <w:rPr>
          <w:rFonts w:ascii="Arial" w:hAnsi="Arial" w:cs="Times Roman"/>
          <w:bCs/>
          <w:color w:val="000000"/>
        </w:rPr>
        <w:t xml:space="preserve">mean ± SD from triplicate experiments. </w:t>
      </w:r>
      <w:r w:rsidRPr="002123BC">
        <w:rPr>
          <w:rFonts w:ascii="Arial" w:hAnsi="Arial" w:cs="Times Roman"/>
          <w:b/>
          <w:color w:val="000000"/>
        </w:rPr>
        <w:t xml:space="preserve">c. </w:t>
      </w:r>
      <w:r w:rsidRPr="002123BC">
        <w:rPr>
          <w:rFonts w:ascii="Arial" w:hAnsi="Arial" w:cs="Times Roman"/>
          <w:bCs/>
          <w:color w:val="000000"/>
        </w:rPr>
        <w:t>GS cells were serum-starved and pre-treated with IGF1R inhibitor PPP overnight then stimulated with IGF1 (20 ng/ml) for 1 hour. Cell lysates were analyzed by Western blot with indicated antibodies.</w:t>
      </w:r>
      <w:r>
        <w:rPr>
          <w:rFonts w:ascii="Arial" w:hAnsi="Arial" w:cs="Times Roman"/>
          <w:bCs/>
          <w:color w:val="000000"/>
        </w:rPr>
        <w:t xml:space="preserve"> </w:t>
      </w:r>
    </w:p>
    <w:p w14:paraId="0F3C8837" w14:textId="77777777" w:rsidR="002123BC" w:rsidRDefault="002123BC">
      <w:pPr>
        <w:rPr>
          <w:rFonts w:eastAsiaTheme="minorEastAsia"/>
        </w:rPr>
      </w:pPr>
    </w:p>
    <w:p w14:paraId="20425809" w14:textId="77777777" w:rsidR="00D32FD4" w:rsidRPr="00D32FD4" w:rsidRDefault="00D32FD4">
      <w:pPr>
        <w:rPr>
          <w:rFonts w:eastAsiaTheme="minorEastAsia"/>
        </w:rPr>
      </w:pPr>
      <w:r>
        <w:rPr>
          <w:rFonts w:eastAsiaTheme="minorEastAsia" w:hint="eastAsia"/>
          <w:noProof/>
        </w:rPr>
        <w:lastRenderedPageBreak/>
        <w:drawing>
          <wp:inline distT="0" distB="0" distL="0" distR="0" wp14:anchorId="2C3811A2" wp14:editId="7E094ED0">
            <wp:extent cx="5274310" cy="571373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er Suppl 1-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1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2FD4" w:rsidRPr="00D32F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Roman">
    <w:altName w:val="Times New Roman"/>
    <w:panose1 w:val="00000500000000020000"/>
    <w:charset w:val="00"/>
    <w:family w:val="auto"/>
    <w:pitch w:val="default"/>
    <w:sig w:usb0="00000000" w:usb1="00000000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3BC"/>
    <w:rsid w:val="002123BC"/>
    <w:rsid w:val="009E2FA8"/>
    <w:rsid w:val="00C12303"/>
    <w:rsid w:val="00CA1337"/>
    <w:rsid w:val="00D32FD4"/>
    <w:rsid w:val="00EF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D6E49"/>
  <w15:chartTrackingRefBased/>
  <w15:docId w15:val="{B4F65D50-FD83-4471-B8E1-DBB9EDEA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3BC"/>
    <w:rPr>
      <w:rFonts w:ascii="Times New Roman" w:eastAsia="Times New Roman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qFormat/>
    <w:rsid w:val="002123BC"/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1712906834@qq.com</cp:lastModifiedBy>
  <cp:revision>3</cp:revision>
  <dcterms:created xsi:type="dcterms:W3CDTF">2022-07-06T15:16:00Z</dcterms:created>
  <dcterms:modified xsi:type="dcterms:W3CDTF">2022-07-06T15:16:00Z</dcterms:modified>
</cp:coreProperties>
</file>