
<file path=[Content_Types].xml><?xml version="1.0" encoding="utf-8"?>
<Types xmlns="http://schemas.openxmlformats.org/package/2006/content-types">
  <Default Extension="jpeg" ContentType="image/jpeg"/>
  <Default Extension="JPG" ContentType="image/.jp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ascii="Times New Roman" w:hAnsi="Times New Roman" w:cs="Times New Roman"/>
          <w:b/>
          <w:bCs/>
          <w:color w:val="000000" w:themeColor="text1"/>
          <w:sz w:val="24"/>
          <w:szCs w:val="24"/>
          <w14:textFill>
            <w14:solidFill>
              <w14:schemeClr w14:val="tx1"/>
            </w14:solidFill>
          </w14:textFill>
        </w:rPr>
      </w:pPr>
      <w:bookmarkStart w:id="2" w:name="_GoBack"/>
      <w:bookmarkEnd w:id="2"/>
      <w:r>
        <w:rPr>
          <w:rFonts w:ascii="Times New Roman" w:hAnsi="Times New Roman" w:cs="Times New Roman"/>
          <w:b/>
          <w:bCs/>
          <w:color w:val="000000" w:themeColor="text1"/>
          <w:sz w:val="24"/>
          <w:szCs w:val="24"/>
          <w14:textFill>
            <w14:solidFill>
              <w14:schemeClr w14:val="tx1"/>
            </w14:solidFill>
          </w14:textFill>
        </w:rPr>
        <w:drawing>
          <wp:inline distT="0" distB="0" distL="0" distR="0">
            <wp:extent cx="5885180" cy="2207260"/>
            <wp:effectExtent l="0" t="0" r="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extLst>
                        <a:ext uri="{28A0092B-C50C-407E-A947-70E740481C1C}">
                          <a14:useLocalDpi xmlns:a14="http://schemas.microsoft.com/office/drawing/2010/main" val="0"/>
                        </a:ext>
                      </a:extLst>
                    </a:blip>
                    <a:srcRect r="-3329" b="73167"/>
                    <a:stretch>
                      <a:fillRect/>
                    </a:stretch>
                  </pic:blipFill>
                  <pic:spPr>
                    <a:xfrm>
                      <a:off x="0" y="0"/>
                      <a:ext cx="5886899" cy="2208219"/>
                    </a:xfrm>
                    <a:prstGeom prst="rect">
                      <a:avLst/>
                    </a:prstGeom>
                    <a:ln>
                      <a:noFill/>
                    </a:ln>
                  </pic:spPr>
                </pic:pic>
              </a:graphicData>
            </a:graphic>
          </wp:inline>
        </w:drawing>
      </w:r>
    </w:p>
    <w:p>
      <w:pPr>
        <w:spacing w:line="360" w:lineRule="auto"/>
        <w:rPr>
          <w:rFonts w:ascii="Times New Roman" w:hAnsi="Times New Roman" w:cs="Times New Roman"/>
          <w:bCs/>
          <w:color w:val="000000" w:themeColor="text1"/>
          <w:sz w:val="24"/>
          <w:szCs w:val="24"/>
          <w14:textFill>
            <w14:solidFill>
              <w14:schemeClr w14:val="tx1"/>
            </w14:solidFill>
          </w14:textFill>
        </w:rPr>
      </w:pPr>
      <w:r>
        <w:rPr>
          <w:rFonts w:hint="eastAsia" w:ascii="Times New Roman" w:hAnsi="Times New Roman" w:cs="Times New Roman"/>
          <w:b/>
          <w:bCs/>
          <w:sz w:val="24"/>
          <w:szCs w:val="24"/>
        </w:rPr>
        <w:t>Su</w:t>
      </w:r>
      <w:r>
        <w:rPr>
          <w:rFonts w:ascii="Times New Roman" w:hAnsi="Times New Roman" w:cs="Times New Roman"/>
          <w:b/>
          <w:bCs/>
          <w:sz w:val="24"/>
          <w:szCs w:val="24"/>
        </w:rPr>
        <w:t>pplemental</w:t>
      </w:r>
      <w:r>
        <w:rPr>
          <w:rFonts w:ascii="Times New Roman" w:hAnsi="Times New Roman" w:cs="Times New Roman"/>
          <w:b/>
          <w:bCs/>
          <w:color w:val="000000" w:themeColor="text1"/>
          <w:sz w:val="24"/>
          <w:szCs w:val="24"/>
          <w14:textFill>
            <w14:solidFill>
              <w14:schemeClr w14:val="tx1"/>
            </w14:solidFill>
          </w14:textFill>
        </w:rPr>
        <w:t xml:space="preserve"> Figure 1. MM102 attenuates cisplatin (CP) associated apoptosis in a dose-dependent way in cultured murine proximal renal tubular epithelial cells (RPTCs). </w:t>
      </w:r>
      <w:r>
        <w:rPr>
          <w:rFonts w:ascii="Times New Roman" w:hAnsi="Times New Roman" w:cs="Times New Roman"/>
          <w:bCs/>
          <w:color w:val="000000" w:themeColor="text1"/>
          <w:sz w:val="24"/>
          <w:szCs w:val="24"/>
          <w14:textFill>
            <w14:solidFill>
              <w14:schemeClr w14:val="tx1"/>
            </w14:solidFill>
          </w14:textFill>
        </w:rPr>
        <w:t xml:space="preserve">RPTCs were treated with various concentrations of MM102 for 1 h and then exposed to CP (20 μM) for an additional 24 h. (A) Cell lysates were prepared and subjected to immunoblot analysis with antibodies against caspase3 cleavage (C-cas3) and </w:t>
      </w:r>
      <w:r>
        <w:rPr>
          <w:rFonts w:ascii="Times New Roman" w:hAnsi="Times New Roman" w:cs="Times New Roman"/>
          <w:color w:val="000000" w:themeColor="text1"/>
          <w:kern w:val="24"/>
          <w:sz w:val="24"/>
          <w:szCs w:val="24"/>
          <w14:textFill>
            <w14:solidFill>
              <w14:schemeClr w14:val="tx1"/>
            </w14:solidFill>
          </w14:textFill>
        </w:rPr>
        <w:t>α-tubulin</w:t>
      </w:r>
      <w:r>
        <w:rPr>
          <w:rFonts w:ascii="Times New Roman" w:hAnsi="Times New Roman" w:cs="Times New Roman"/>
          <w:bCs/>
          <w:color w:val="000000" w:themeColor="text1"/>
          <w:sz w:val="24"/>
          <w:szCs w:val="24"/>
          <w14:textFill>
            <w14:solidFill>
              <w14:schemeClr w14:val="tx1"/>
            </w14:solidFill>
          </w14:textFill>
        </w:rPr>
        <w:t>. (B) The levels of C-cas3 were quantified by densitometry and normalized with α-tubulin. (C) Cell viability was detected 24 h after CP administered by cell counting kit 8 (CCK8) assay. Values are mean ± SD.</w:t>
      </w:r>
      <w:r>
        <w:rPr>
          <w:rFonts w:ascii="Times New Roman" w:hAnsi="Times New Roman" w:cs="Times New Roman"/>
          <w:sz w:val="24"/>
          <w:szCs w:val="24"/>
        </w:rPr>
        <w:t xml:space="preserve"> </w:t>
      </w:r>
      <w:r>
        <w:rPr>
          <w:rFonts w:ascii="Times New Roman" w:hAnsi="Times New Roman" w:cs="Times New Roman"/>
          <w:bCs/>
          <w:color w:val="000000" w:themeColor="text1"/>
          <w:sz w:val="24"/>
          <w:szCs w:val="24"/>
          <w14:textFill>
            <w14:solidFill>
              <w14:schemeClr w14:val="tx1"/>
            </w14:solidFill>
          </w14:textFill>
        </w:rPr>
        <w:t xml:space="preserve">A representative result from at least three experiments was shown. *P &lt; 0.05, **P &lt; 0.01. </w:t>
      </w:r>
    </w:p>
    <w:p>
      <w:pPr>
        <w:spacing w:line="360" w:lineRule="auto"/>
        <w:rPr>
          <w:rFonts w:ascii="Times New Roman" w:hAnsi="Times New Roman" w:cs="Times New Roman"/>
          <w:bCs/>
          <w:color w:val="000000" w:themeColor="text1"/>
          <w:sz w:val="24"/>
          <w:szCs w:val="24"/>
          <w14:textFill>
            <w14:solidFill>
              <w14:schemeClr w14:val="tx1"/>
            </w14:solidFill>
          </w14:textFill>
        </w:rPr>
      </w:pPr>
    </w:p>
    <w:p>
      <w:pPr>
        <w:spacing w:line="480" w:lineRule="auto"/>
        <w:rPr>
          <w:rFonts w:ascii="Times New Roman" w:hAnsi="Times New Roman" w:cs="Times New Roman"/>
          <w:bCs/>
          <w:color w:val="000000" w:themeColor="text1"/>
          <w:sz w:val="24"/>
          <w:szCs w:val="24"/>
          <w14:textFill>
            <w14:solidFill>
              <w14:schemeClr w14:val="tx1"/>
            </w14:solidFill>
          </w14:textFill>
        </w:rPr>
      </w:pPr>
    </w:p>
    <w:p>
      <w:pPr>
        <w:spacing w:line="480" w:lineRule="auto"/>
        <w:rPr>
          <w:rFonts w:ascii="Times New Roman" w:hAnsi="Times New Roman" w:cs="Times New Roman"/>
          <w:bCs/>
          <w:color w:val="000000" w:themeColor="text1"/>
          <w:sz w:val="24"/>
          <w:szCs w:val="24"/>
          <w14:textFill>
            <w14:solidFill>
              <w14:schemeClr w14:val="tx1"/>
            </w14:solidFill>
          </w14:textFill>
        </w:rPr>
      </w:pPr>
    </w:p>
    <w:p>
      <w:pPr>
        <w:spacing w:line="480" w:lineRule="auto"/>
        <w:rPr>
          <w:rFonts w:ascii="Times New Roman" w:hAnsi="Times New Roman" w:cs="Times New Roman"/>
          <w:bCs/>
          <w:color w:val="000000" w:themeColor="text1"/>
          <w:sz w:val="24"/>
          <w:szCs w:val="24"/>
          <w14:textFill>
            <w14:solidFill>
              <w14:schemeClr w14:val="tx1"/>
            </w14:solidFill>
          </w14:textFill>
        </w:rPr>
      </w:pPr>
    </w:p>
    <w:p>
      <w:pPr>
        <w:spacing w:line="480" w:lineRule="auto"/>
        <w:rPr>
          <w:rFonts w:ascii="Times New Roman" w:hAnsi="Times New Roman" w:cs="Times New Roman"/>
          <w:bCs/>
          <w:color w:val="000000" w:themeColor="text1"/>
          <w:sz w:val="24"/>
          <w:szCs w:val="24"/>
          <w14:textFill>
            <w14:solidFill>
              <w14:schemeClr w14:val="tx1"/>
            </w14:solidFill>
          </w14:textFill>
        </w:rPr>
      </w:pPr>
    </w:p>
    <w:p>
      <w:pPr>
        <w:spacing w:line="480" w:lineRule="auto"/>
        <w:rPr>
          <w:rFonts w:ascii="Times New Roman" w:hAnsi="Times New Roman" w:cs="Times New Roman"/>
          <w:bCs/>
          <w:color w:val="000000" w:themeColor="text1"/>
          <w:sz w:val="24"/>
          <w:szCs w:val="24"/>
          <w14:textFill>
            <w14:solidFill>
              <w14:schemeClr w14:val="tx1"/>
            </w14:solidFill>
          </w14:textFill>
        </w:rPr>
      </w:pPr>
    </w:p>
    <w:p>
      <w:pPr>
        <w:spacing w:line="480" w:lineRule="auto"/>
        <w:rPr>
          <w:rFonts w:ascii="Times New Roman" w:hAnsi="Times New Roman" w:cs="Times New Roman"/>
          <w:bCs/>
          <w:color w:val="000000" w:themeColor="text1"/>
          <w:sz w:val="24"/>
          <w:szCs w:val="24"/>
          <w14:textFill>
            <w14:solidFill>
              <w14:schemeClr w14:val="tx1"/>
            </w14:solidFill>
          </w14:textFill>
        </w:rPr>
      </w:pPr>
    </w:p>
    <w:p>
      <w:pPr>
        <w:spacing w:line="480" w:lineRule="auto"/>
        <w:rPr>
          <w:rFonts w:ascii="Times New Roman" w:hAnsi="Times New Roman" w:cs="Times New Roman"/>
          <w:bCs/>
          <w:color w:val="000000" w:themeColor="text1"/>
          <w:sz w:val="24"/>
          <w:szCs w:val="24"/>
          <w14:textFill>
            <w14:solidFill>
              <w14:schemeClr w14:val="tx1"/>
            </w14:solidFill>
          </w14:textFill>
        </w:rPr>
      </w:pPr>
    </w:p>
    <w:p>
      <w:pPr>
        <w:spacing w:line="480" w:lineRule="auto"/>
        <w:rPr>
          <w:rFonts w:ascii="Times New Roman" w:hAnsi="Times New Roman" w:cs="Times New Roman"/>
          <w:bCs/>
          <w:color w:val="000000" w:themeColor="text1"/>
          <w:sz w:val="24"/>
          <w:szCs w:val="24"/>
          <w14:textFill>
            <w14:solidFill>
              <w14:schemeClr w14:val="tx1"/>
            </w14:solidFill>
          </w14:textFill>
        </w:rPr>
      </w:pPr>
    </w:p>
    <w:p>
      <w:pPr>
        <w:spacing w:line="480" w:lineRule="auto"/>
        <w:rPr>
          <w:rFonts w:ascii="Times New Roman" w:hAnsi="Times New Roman" w:cs="Times New Roman"/>
          <w:bCs/>
          <w:color w:val="000000" w:themeColor="text1"/>
          <w:sz w:val="24"/>
          <w:szCs w:val="24"/>
          <w14:textFill>
            <w14:solidFill>
              <w14:schemeClr w14:val="tx1"/>
            </w14:solidFill>
          </w14:textFill>
        </w:rPr>
      </w:pPr>
    </w:p>
    <w:p>
      <w:pPr>
        <w:spacing w:line="480" w:lineRule="auto"/>
        <w:rPr>
          <w:rFonts w:ascii="Times New Roman" w:hAnsi="Times New Roman" w:cs="Times New Roman"/>
          <w:bCs/>
          <w:color w:val="000000" w:themeColor="text1"/>
          <w:sz w:val="24"/>
          <w:szCs w:val="24"/>
          <w14:textFill>
            <w14:solidFill>
              <w14:schemeClr w14:val="tx1"/>
            </w14:solidFill>
          </w14:textFill>
        </w:rPr>
      </w:pPr>
    </w:p>
    <w:p>
      <w:pPr>
        <w:spacing w:line="480" w:lineRule="auto"/>
        <w:rPr>
          <w:rFonts w:ascii="Times New Roman" w:hAnsi="Times New Roman" w:cs="Times New Roman"/>
          <w:bCs/>
          <w:color w:val="000000" w:themeColor="text1"/>
          <w:sz w:val="24"/>
          <w:szCs w:val="24"/>
          <w14:textFill>
            <w14:solidFill>
              <w14:schemeClr w14:val="tx1"/>
            </w14:solidFill>
          </w14:textFill>
        </w:rPr>
      </w:pPr>
    </w:p>
    <w:p>
      <w:pPr>
        <w:spacing w:line="480" w:lineRule="auto"/>
        <w:rPr>
          <w:rFonts w:hint="eastAsia" w:ascii="Times New Roman" w:hAnsi="Times New Roman" w:cs="Times New Roman"/>
          <w:bCs/>
          <w:color w:val="000000" w:themeColor="text1"/>
          <w:sz w:val="24"/>
          <w:szCs w:val="24"/>
          <w14:textFill>
            <w14:solidFill>
              <w14:schemeClr w14:val="tx1"/>
            </w14:solidFill>
          </w14:textFill>
        </w:rPr>
      </w:pPr>
    </w:p>
    <w:p>
      <w:pPr>
        <w:spacing w:line="480" w:lineRule="auto"/>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drawing>
          <wp:inline distT="0" distB="0" distL="0" distR="0">
            <wp:extent cx="5804535" cy="29400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extLst>
                        <a:ext uri="{28A0092B-C50C-407E-A947-70E740481C1C}">
                          <a14:useLocalDpi xmlns:a14="http://schemas.microsoft.com/office/drawing/2010/main" val="0"/>
                        </a:ext>
                      </a:extLst>
                    </a:blip>
                    <a:srcRect l="1" t="2" r="-1903" b="64265"/>
                    <a:stretch>
                      <a:fillRect/>
                    </a:stretch>
                  </pic:blipFill>
                  <pic:spPr>
                    <a:xfrm>
                      <a:off x="0" y="0"/>
                      <a:ext cx="5805699" cy="2940745"/>
                    </a:xfrm>
                    <a:prstGeom prst="rect">
                      <a:avLst/>
                    </a:prstGeom>
                    <a:ln>
                      <a:noFill/>
                    </a:ln>
                  </pic:spPr>
                </pic:pic>
              </a:graphicData>
            </a:graphic>
          </wp:inline>
        </w:drawing>
      </w:r>
      <w:r>
        <w:rPr>
          <w:rFonts w:hint="eastAsia" w:ascii="Times New Roman" w:hAnsi="Times New Roman" w:cs="Times New Roman"/>
          <w:b/>
          <w:bCs/>
          <w:sz w:val="24"/>
          <w:szCs w:val="24"/>
        </w:rPr>
        <w:t>Su</w:t>
      </w:r>
      <w:r>
        <w:rPr>
          <w:rFonts w:ascii="Times New Roman" w:hAnsi="Times New Roman" w:cs="Times New Roman"/>
          <w:b/>
          <w:bCs/>
          <w:sz w:val="24"/>
          <w:szCs w:val="24"/>
        </w:rPr>
        <w:t xml:space="preserve">pplemental Figure 2. MM102 inhibits cisplatin (CP) induced p53 phosphorylation in cultured murine proximal renal tubular epithelial cells (RPTCs). </w:t>
      </w:r>
      <w:r>
        <w:rPr>
          <w:rFonts w:ascii="Times New Roman" w:hAnsi="Times New Roman" w:cs="Times New Roman"/>
          <w:bCs/>
          <w:color w:val="000000" w:themeColor="text1"/>
          <w:sz w:val="24"/>
          <w:szCs w:val="24"/>
          <w14:textFill>
            <w14:solidFill>
              <w14:schemeClr w14:val="tx1"/>
            </w14:solidFill>
          </w14:textFill>
        </w:rPr>
        <w:t>RPTCs were treated with MM102 (50 μM) for 1 hour and then exposed to CP (20 μM) for an additional 24 h.</w:t>
      </w:r>
      <w:r>
        <w:rPr>
          <w:rFonts w:ascii="Times New Roman" w:hAnsi="Times New Roman" w:cs="Times New Roman"/>
          <w:bCs/>
          <w:sz w:val="24"/>
          <w:szCs w:val="24"/>
        </w:rPr>
        <w:t xml:space="preserve"> (A) Immunofluorescent staining for p-p53 is shown. Scale bars = 20 μm.</w:t>
      </w:r>
      <w:r>
        <w:rPr>
          <w:rFonts w:hint="eastAsia" w:ascii="Times New Roman" w:hAnsi="Times New Roman" w:cs="Times New Roman"/>
          <w:bCs/>
          <w:sz w:val="24"/>
          <w:szCs w:val="24"/>
        </w:rPr>
        <w:t xml:space="preserve"> </w:t>
      </w:r>
      <w:r>
        <w:rPr>
          <w:rFonts w:ascii="Times New Roman" w:hAnsi="Times New Roman" w:cs="Times New Roman"/>
          <w:bCs/>
          <w:sz w:val="24"/>
          <w:szCs w:val="24"/>
        </w:rPr>
        <w:t>(B) Quantification of the protein-positive area is shown in the right panel. Values are mean ± SD. A representative result from at least three experiments was shown. *P &lt; 0.05, **P &lt; 0.01</w:t>
      </w:r>
    </w:p>
    <w:p>
      <w:pPr>
        <w:pStyle w:val="4"/>
        <w:rPr>
          <w:rFonts w:ascii="Times New Roman" w:hAnsi="Times New Roman" w:cs="Times New Roman"/>
          <w:bCs/>
        </w:rPr>
      </w:pPr>
    </w:p>
    <w:p>
      <w:pPr>
        <w:pStyle w:val="4"/>
        <w:rPr>
          <w:rFonts w:ascii="Times New Roman" w:hAnsi="Times New Roman" w:cs="Times New Roman"/>
          <w:bCs/>
        </w:rPr>
      </w:pPr>
    </w:p>
    <w:p>
      <w:pPr>
        <w:pStyle w:val="4"/>
        <w:rPr>
          <w:rFonts w:ascii="Times New Roman" w:hAnsi="Times New Roman" w:cs="Times New Roman"/>
          <w:bCs/>
        </w:rPr>
      </w:pPr>
    </w:p>
    <w:p>
      <w:pPr>
        <w:pStyle w:val="4"/>
        <w:rPr>
          <w:rFonts w:hint="eastAsia" w:ascii="Times New Roman" w:hAnsi="Times New Roman" w:cs="Times New Roman"/>
          <w:bCs/>
        </w:rPr>
      </w:pPr>
    </w:p>
    <w:p>
      <w:pPr>
        <w:pStyle w:val="4"/>
        <w:rPr>
          <w:rFonts w:ascii="Times New Roman" w:hAnsi="Times New Roman" w:cs="Times New Roman"/>
          <w:bCs/>
        </w:rPr>
      </w:pPr>
    </w:p>
    <w:p>
      <w:pPr>
        <w:pStyle w:val="4"/>
        <w:spacing w:line="360" w:lineRule="auto"/>
        <w:rPr>
          <w:rFonts w:ascii="Times New Roman" w:hAnsi="Times New Roman" w:cs="Times New Roman"/>
          <w:bCs/>
        </w:rPr>
      </w:pPr>
      <w:r>
        <w:rPr>
          <w:rFonts w:ascii="Times New Roman" w:hAnsi="Times New Roman" w:cs="Times New Roman"/>
          <w:bCs/>
        </w:rPr>
        <w:drawing>
          <wp:inline distT="0" distB="0" distL="0" distR="0">
            <wp:extent cx="5673090" cy="1990090"/>
            <wp:effectExtent l="0" t="0" r="381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extLst>
                        <a:ext uri="{28A0092B-C50C-407E-A947-70E740481C1C}">
                          <a14:useLocalDpi xmlns:a14="http://schemas.microsoft.com/office/drawing/2010/main" val="0"/>
                        </a:ext>
                      </a:extLst>
                    </a:blip>
                    <a:srcRect l="-1" t="-1" r="386" b="75805"/>
                    <a:stretch>
                      <a:fillRect/>
                    </a:stretch>
                  </pic:blipFill>
                  <pic:spPr>
                    <a:xfrm>
                      <a:off x="0" y="0"/>
                      <a:ext cx="5675256" cy="1991141"/>
                    </a:xfrm>
                    <a:prstGeom prst="rect">
                      <a:avLst/>
                    </a:prstGeom>
                    <a:ln>
                      <a:noFill/>
                    </a:ln>
                  </pic:spPr>
                </pic:pic>
              </a:graphicData>
            </a:graphic>
          </wp:inline>
        </w:drawing>
      </w:r>
      <w:r>
        <w:rPr>
          <w:rFonts w:hint="eastAsia" w:ascii="Times New Roman" w:hAnsi="Times New Roman" w:cs="Times New Roman"/>
          <w:b/>
          <w:bCs/>
        </w:rPr>
        <w:t>Su</w:t>
      </w:r>
      <w:r>
        <w:rPr>
          <w:rFonts w:ascii="Times New Roman" w:hAnsi="Times New Roman" w:cs="Times New Roman"/>
          <w:b/>
          <w:bCs/>
        </w:rPr>
        <w:t>pplemental</w:t>
      </w:r>
      <w:r>
        <w:rPr>
          <w:rFonts w:ascii="Times New Roman" w:hAnsi="Times New Roman" w:cs="Times New Roman"/>
          <w:b/>
          <w:bCs/>
          <w:color w:val="000000" w:themeColor="text1"/>
          <w14:textFill>
            <w14:solidFill>
              <w14:schemeClr w14:val="tx1"/>
            </w14:solidFill>
          </w14:textFill>
        </w:rPr>
        <w:t xml:space="preserve"> Figure 3. The interaction of MLL1 with WDR5 in renal proximal tubular cells (RPTC). </w:t>
      </w:r>
      <w:r>
        <w:rPr>
          <w:rFonts w:ascii="Times New Roman" w:hAnsi="Times New Roman" w:cs="Times New Roman"/>
          <w:bCs/>
          <w:color w:val="000000" w:themeColor="text1"/>
          <w14:textFill>
            <w14:solidFill>
              <w14:schemeClr w14:val="tx1"/>
            </w14:solidFill>
          </w14:textFill>
        </w:rPr>
        <w:t xml:space="preserve">RPTCs were treated with MM102 (50 μM) for 1 hour and then exposed to CP (20 μM) for an additional 24 h. Cells were collected, and the cell lysates were then immunoprecipitated with an antibody against MLL1 (A) or </w:t>
      </w:r>
      <w:r>
        <w:rPr>
          <w:rFonts w:hint="eastAsia" w:ascii="Times New Roman" w:hAnsi="Times New Roman" w:cs="Times New Roman"/>
          <w:bCs/>
          <w:color w:val="000000" w:themeColor="text1"/>
          <w14:textFill>
            <w14:solidFill>
              <w14:schemeClr w14:val="tx1"/>
            </w14:solidFill>
          </w14:textFill>
        </w:rPr>
        <w:t>WDR</w:t>
      </w:r>
      <w:r>
        <w:rPr>
          <w:rFonts w:ascii="Times New Roman" w:hAnsi="Times New Roman" w:cs="Times New Roman"/>
          <w:bCs/>
          <w:color w:val="000000" w:themeColor="text1"/>
          <w14:textFill>
            <w14:solidFill>
              <w14:schemeClr w14:val="tx1"/>
            </w14:solidFill>
          </w14:textFill>
        </w:rPr>
        <w:t xml:space="preserve">5 (B). The immunocomplexes were subjected to immunoblot analysis with antibodies to MLL1 and WDR5. </w:t>
      </w:r>
    </w:p>
    <w:p>
      <w:pPr>
        <w:pStyle w:val="4"/>
        <w:rPr>
          <w:rFonts w:ascii="Times New Roman" w:hAnsi="Times New Roman" w:cs="Times New Roman"/>
          <w:bCs/>
        </w:rPr>
      </w:pPr>
    </w:p>
    <w:p>
      <w:pPr>
        <w:spacing w:line="480" w:lineRule="auto"/>
        <w:rPr>
          <w:rFonts w:ascii="Times New Roman" w:hAnsi="Times New Roman" w:cs="Times New Roman"/>
          <w:bCs/>
          <w:sz w:val="24"/>
          <w:szCs w:val="24"/>
        </w:rPr>
      </w:pPr>
    </w:p>
    <w:p>
      <w:pPr>
        <w:spacing w:line="480" w:lineRule="auto"/>
        <w:rPr>
          <w:rFonts w:ascii="Times New Roman" w:hAnsi="Times New Roman" w:cs="Times New Roman"/>
          <w:bCs/>
          <w:sz w:val="24"/>
          <w:szCs w:val="24"/>
        </w:rPr>
      </w:pPr>
    </w:p>
    <w:p>
      <w:pPr>
        <w:spacing w:line="480" w:lineRule="auto"/>
        <w:rPr>
          <w:rFonts w:ascii="Times New Roman" w:hAnsi="Times New Roman" w:cs="Times New Roman"/>
          <w:bCs/>
          <w:sz w:val="24"/>
          <w:szCs w:val="24"/>
        </w:rPr>
      </w:pPr>
    </w:p>
    <w:p>
      <w:pPr>
        <w:spacing w:line="480" w:lineRule="auto"/>
        <w:rPr>
          <w:rFonts w:ascii="Times New Roman" w:hAnsi="Times New Roman" w:cs="Times New Roman"/>
          <w:bCs/>
          <w:sz w:val="24"/>
          <w:szCs w:val="24"/>
        </w:rPr>
      </w:pPr>
    </w:p>
    <w:p>
      <w:pPr>
        <w:spacing w:line="480" w:lineRule="auto"/>
        <w:rPr>
          <w:rFonts w:ascii="Times New Roman" w:hAnsi="Times New Roman" w:cs="Times New Roman"/>
          <w:bCs/>
          <w:sz w:val="24"/>
          <w:szCs w:val="24"/>
        </w:rPr>
      </w:pPr>
    </w:p>
    <w:p>
      <w:pPr>
        <w:spacing w:line="480" w:lineRule="auto"/>
        <w:rPr>
          <w:rFonts w:ascii="Times New Roman" w:hAnsi="Times New Roman" w:cs="Times New Roman"/>
          <w:bCs/>
          <w:sz w:val="24"/>
          <w:szCs w:val="24"/>
        </w:rPr>
      </w:pPr>
    </w:p>
    <w:p>
      <w:pPr>
        <w:spacing w:line="480" w:lineRule="auto"/>
        <w:rPr>
          <w:rFonts w:ascii="Times New Roman" w:hAnsi="Times New Roman" w:cs="Times New Roman"/>
          <w:bCs/>
          <w:sz w:val="24"/>
          <w:szCs w:val="24"/>
        </w:rPr>
      </w:pPr>
    </w:p>
    <w:p>
      <w:pPr>
        <w:spacing w:line="480" w:lineRule="auto"/>
        <w:rPr>
          <w:rFonts w:ascii="Times New Roman" w:hAnsi="Times New Roman" w:cs="Times New Roman"/>
          <w:b/>
          <w:sz w:val="24"/>
          <w:szCs w:val="24"/>
        </w:rPr>
      </w:pPr>
      <w:bookmarkStart w:id="0" w:name="OLE_LINK45"/>
      <w:bookmarkStart w:id="1" w:name="OLE_LINK44"/>
      <w:r>
        <w:rPr>
          <w:rFonts w:ascii="Times New Roman" w:hAnsi="Times New Roman" w:cs="Times New Roman"/>
          <w:b/>
          <w:sz w:val="24"/>
          <w:szCs w:val="24"/>
        </w:rPr>
        <w:drawing>
          <wp:inline distT="0" distB="0" distL="0" distR="0">
            <wp:extent cx="5691505" cy="3876040"/>
            <wp:effectExtent l="0" t="0" r="444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extLst>
                        <a:ext uri="{28A0092B-C50C-407E-A947-70E740481C1C}">
                          <a14:useLocalDpi xmlns:a14="http://schemas.microsoft.com/office/drawing/2010/main" val="0"/>
                        </a:ext>
                      </a:extLst>
                    </a:blip>
                    <a:srcRect r="80" b="52892"/>
                    <a:stretch>
                      <a:fillRect/>
                    </a:stretch>
                  </pic:blipFill>
                  <pic:spPr>
                    <a:xfrm>
                      <a:off x="0" y="0"/>
                      <a:ext cx="5692612" cy="3876808"/>
                    </a:xfrm>
                    <a:prstGeom prst="rect">
                      <a:avLst/>
                    </a:prstGeom>
                    <a:ln>
                      <a:noFill/>
                    </a:ln>
                  </pic:spPr>
                </pic:pic>
              </a:graphicData>
            </a:graphic>
          </wp:inline>
        </w:drawing>
      </w:r>
    </w:p>
    <w:p>
      <w:pPr>
        <w:spacing w:line="360" w:lineRule="auto"/>
        <w:rPr>
          <w:rFonts w:ascii="Times New Roman" w:hAnsi="Times New Roman" w:eastAsia="DengXian" w:cs="Times New Roman"/>
          <w:bCs/>
          <w:sz w:val="24"/>
          <w:szCs w:val="24"/>
        </w:rPr>
      </w:pPr>
      <w:r>
        <w:rPr>
          <w:rFonts w:ascii="Times New Roman" w:hAnsi="Times New Roman" w:cs="Times New Roman"/>
          <w:b/>
          <w:sz w:val="24"/>
          <w:szCs w:val="24"/>
        </w:rPr>
        <w:t xml:space="preserve">Supplemental Figure 4.  Inhibition of p53 with </w:t>
      </w:r>
      <w:r>
        <w:rPr>
          <w:rFonts w:ascii="Times New Roman" w:hAnsi="Times New Roman" w:cs="Times New Roman"/>
          <w:b/>
          <w:color w:val="000000"/>
          <w:sz w:val="24"/>
          <w:szCs w:val="24"/>
        </w:rPr>
        <w:t>Pifithrin-α</w:t>
      </w:r>
      <w:r>
        <w:rPr>
          <w:rFonts w:ascii="Times New Roman" w:hAnsi="Times New Roman" w:cs="Times New Roman"/>
          <w:b/>
          <w:sz w:val="24"/>
          <w:szCs w:val="24"/>
        </w:rPr>
        <w:t xml:space="preserve"> </w:t>
      </w:r>
      <w:r>
        <w:rPr>
          <w:rFonts w:ascii="Times New Roman" w:hAnsi="Times New Roman" w:cs="Times New Roman"/>
          <w:bCs/>
          <w:color w:val="000000"/>
          <w:sz w:val="24"/>
          <w:szCs w:val="24"/>
        </w:rPr>
        <w:t>(</w:t>
      </w:r>
      <w:r>
        <w:rPr>
          <w:rFonts w:ascii="Times New Roman" w:hAnsi="Times New Roman" w:cs="Times New Roman"/>
          <w:b/>
          <w:color w:val="000000"/>
          <w:sz w:val="24"/>
          <w:szCs w:val="24"/>
        </w:rPr>
        <w:t>PFA)</w:t>
      </w:r>
      <w:r>
        <w:rPr>
          <w:rFonts w:ascii="Times New Roman" w:hAnsi="Times New Roman" w:cs="Times New Roman"/>
          <w:bCs/>
          <w:color w:val="000000"/>
          <w:sz w:val="24"/>
          <w:szCs w:val="24"/>
        </w:rPr>
        <w:t xml:space="preserve"> </w:t>
      </w:r>
      <w:r>
        <w:rPr>
          <w:rFonts w:ascii="Times New Roman" w:hAnsi="Times New Roman" w:cs="Times New Roman"/>
          <w:b/>
          <w:sz w:val="24"/>
          <w:szCs w:val="24"/>
        </w:rPr>
        <w:t xml:space="preserve">diminishes </w:t>
      </w:r>
      <w:r>
        <w:rPr>
          <w:rFonts w:ascii="Times New Roman" w:hAnsi="Times New Roman" w:cs="Times New Roman"/>
          <w:b/>
          <w:color w:val="000000"/>
          <w:kern w:val="24"/>
          <w:sz w:val="24"/>
          <w:szCs w:val="24"/>
        </w:rPr>
        <w:t>cisplatin (CP)</w:t>
      </w:r>
      <w:r>
        <w:rPr>
          <w:rFonts w:ascii="Times New Roman" w:hAnsi="Times New Roman" w:cs="Times New Roman"/>
          <w:b/>
          <w:sz w:val="24"/>
          <w:szCs w:val="24"/>
        </w:rPr>
        <w:t xml:space="preserve">-induced apoptosis along with preservation of E-cadherin </w:t>
      </w:r>
      <w:r>
        <w:rPr>
          <w:rFonts w:hint="eastAsia" w:ascii="Times New Roman" w:hAnsi="Times New Roman" w:cs="Times New Roman"/>
          <w:b/>
          <w:sz w:val="24"/>
          <w:szCs w:val="24"/>
        </w:rPr>
        <w:t>(</w:t>
      </w:r>
      <w:r>
        <w:rPr>
          <w:rFonts w:ascii="Times New Roman" w:hAnsi="Times New Roman" w:cs="Times New Roman"/>
          <w:b/>
          <w:sz w:val="24"/>
          <w:szCs w:val="24"/>
        </w:rPr>
        <w:t xml:space="preserve">E-cad) levels </w:t>
      </w:r>
      <w:r>
        <w:rPr>
          <w:rFonts w:ascii="Times New Roman" w:hAnsi="Times New Roman" w:cs="Times New Roman"/>
          <w:b/>
          <w:color w:val="000000"/>
          <w:kern w:val="24"/>
          <w:sz w:val="24"/>
          <w:szCs w:val="24"/>
        </w:rPr>
        <w:t>in murine renal proximal tubular epithelial cells (RPTCs)</w:t>
      </w:r>
      <w:r>
        <w:rPr>
          <w:rFonts w:ascii="Times New Roman" w:hAnsi="Times New Roman" w:cs="Times New Roman"/>
          <w:b/>
          <w:sz w:val="24"/>
          <w:szCs w:val="24"/>
        </w:rPr>
        <w:t xml:space="preserve">. </w:t>
      </w:r>
      <w:r>
        <w:rPr>
          <w:rFonts w:ascii="Times New Roman" w:hAnsi="Times New Roman" w:cs="Times New Roman"/>
          <w:color w:val="000000"/>
          <w:sz w:val="24"/>
          <w:szCs w:val="24"/>
        </w:rPr>
        <w:t>RPTCs were untreated or treated for 24 h with CP (20 μM) in the presence or absence of</w:t>
      </w:r>
      <w:r>
        <w:rPr>
          <w:rFonts w:ascii="Times New Roman" w:hAnsi="Times New Roman" w:cs="Times New Roman"/>
          <w:bCs/>
          <w:color w:val="000000"/>
          <w:sz w:val="24"/>
          <w:szCs w:val="24"/>
        </w:rPr>
        <w:t xml:space="preserve"> PFA (10 μM) with or without</w:t>
      </w:r>
      <w:r>
        <w:rPr>
          <w:rFonts w:ascii="Times New Roman" w:hAnsi="Times New Roman" w:cs="Times New Roman"/>
          <w:color w:val="000000"/>
          <w:sz w:val="24"/>
          <w:szCs w:val="24"/>
        </w:rPr>
        <w:t xml:space="preserve"> MM102 (50 μM). Cell lysates were prepared and subjected to immunoblot analysis with antibodies against </w:t>
      </w:r>
      <w:r>
        <w:rPr>
          <w:rFonts w:ascii="Times New Roman" w:hAnsi="Times New Roman" w:cs="Times New Roman"/>
          <w:bCs/>
          <w:color w:val="000000"/>
          <w:sz w:val="24"/>
          <w:szCs w:val="24"/>
        </w:rPr>
        <w:t xml:space="preserve">phospho-p53 (p-p53), p53, cleaved caspase3 (C-cas3), E-cad </w:t>
      </w:r>
      <w:r>
        <w:rPr>
          <w:rFonts w:ascii="Times New Roman" w:hAnsi="Times New Roman" w:cs="Times New Roman"/>
          <w:color w:val="000000"/>
          <w:sz w:val="24"/>
          <w:szCs w:val="24"/>
        </w:rPr>
        <w:t>(A), and</w:t>
      </w:r>
      <w:r>
        <w:rPr>
          <w:rFonts w:ascii="Times New Roman" w:hAnsi="Times New Roman" w:cs="Times New Roman"/>
          <w:bCs/>
          <w:color w:val="000000"/>
          <w:kern w:val="24"/>
          <w:sz w:val="24"/>
          <w:szCs w:val="24"/>
        </w:rPr>
        <w:t xml:space="preserve"> </w:t>
      </w:r>
      <w:r>
        <w:rPr>
          <w:rFonts w:ascii="Times New Roman" w:hAnsi="Times New Roman" w:cs="Times New Roman"/>
          <w:bCs/>
          <w:color w:val="000000"/>
          <w:sz w:val="24"/>
          <w:szCs w:val="24"/>
        </w:rPr>
        <w:t>MLL1, WDR5, H3K4me3 and histone H3</w:t>
      </w:r>
      <w:r>
        <w:rPr>
          <w:rFonts w:ascii="Times New Roman" w:hAnsi="Times New Roman" w:cs="Times New Roman"/>
          <w:color w:val="000000"/>
          <w:sz w:val="24"/>
          <w:szCs w:val="24"/>
        </w:rPr>
        <w:t xml:space="preserve"> (E). </w:t>
      </w:r>
      <w:r>
        <w:rPr>
          <w:rFonts w:ascii="Times New Roman" w:hAnsi="Times New Roman" w:cs="Times New Roman"/>
          <w:bCs/>
          <w:color w:val="000000"/>
          <w:sz w:val="24"/>
          <w:szCs w:val="24"/>
        </w:rPr>
        <w:t>p-p53 (</w:t>
      </w:r>
      <w:r>
        <w:rPr>
          <w:rFonts w:hint="eastAsia" w:ascii="Times New Roman" w:hAnsi="Times New Roman" w:cs="Times New Roman"/>
          <w:bCs/>
          <w:color w:val="000000"/>
          <w:sz w:val="24"/>
          <w:szCs w:val="24"/>
        </w:rPr>
        <w:t>B</w:t>
      </w:r>
      <w:r>
        <w:rPr>
          <w:rFonts w:ascii="Times New Roman" w:hAnsi="Times New Roman" w:cs="Times New Roman"/>
          <w:bCs/>
          <w:color w:val="000000"/>
          <w:sz w:val="24"/>
          <w:szCs w:val="24"/>
        </w:rPr>
        <w:t xml:space="preserve">) </w:t>
      </w:r>
      <w:r>
        <w:rPr>
          <w:rFonts w:ascii="Times New Roman" w:hAnsi="Times New Roman" w:cs="Times New Roman"/>
          <w:color w:val="000000"/>
          <w:sz w:val="24"/>
          <w:szCs w:val="24"/>
        </w:rPr>
        <w:t xml:space="preserve">was normalized with </w:t>
      </w:r>
      <w:r>
        <w:rPr>
          <w:rFonts w:ascii="Times New Roman" w:hAnsi="Times New Roman" w:cs="Times New Roman"/>
          <w:bCs/>
          <w:color w:val="000000"/>
          <w:sz w:val="24"/>
          <w:szCs w:val="24"/>
        </w:rPr>
        <w:t xml:space="preserve">p53, </w:t>
      </w:r>
      <w:r>
        <w:rPr>
          <w:rFonts w:ascii="Times New Roman" w:hAnsi="Times New Roman" w:cs="Times New Roman"/>
          <w:color w:val="000000"/>
          <w:sz w:val="24"/>
          <w:szCs w:val="24"/>
        </w:rPr>
        <w:t>C-cas3 (</w:t>
      </w:r>
      <w:r>
        <w:rPr>
          <w:rFonts w:hint="eastAsia" w:ascii="Times New Roman" w:hAnsi="Times New Roman" w:cs="Times New Roman"/>
          <w:color w:val="000000"/>
          <w:sz w:val="24"/>
          <w:szCs w:val="24"/>
        </w:rPr>
        <w:t>C</w:t>
      </w:r>
      <w:r>
        <w:rPr>
          <w:rFonts w:ascii="Times New Roman" w:hAnsi="Times New Roman" w:cs="Times New Roman"/>
          <w:color w:val="000000"/>
          <w:sz w:val="24"/>
          <w:szCs w:val="24"/>
        </w:rPr>
        <w:t>) and E-cad (</w:t>
      </w:r>
      <w:r>
        <w:rPr>
          <w:rFonts w:hint="eastAsia" w:ascii="Times New Roman" w:hAnsi="Times New Roman" w:cs="Times New Roman"/>
          <w:color w:val="000000"/>
          <w:sz w:val="24"/>
          <w:szCs w:val="24"/>
        </w:rPr>
        <w:t>D</w:t>
      </w:r>
      <w:r>
        <w:rPr>
          <w:rFonts w:ascii="Times New Roman" w:hAnsi="Times New Roman" w:cs="Times New Roman"/>
          <w:color w:val="000000"/>
          <w:sz w:val="24"/>
          <w:szCs w:val="24"/>
        </w:rPr>
        <w:t>) were normalized with α-tubulin. MLL1 (F) and WDR5 (G) were</w:t>
      </w:r>
      <w:r>
        <w:rPr>
          <w:rFonts w:ascii="Times New Roman" w:hAnsi="Times New Roman" w:cs="Times New Roman"/>
          <w:bCs/>
          <w:color w:val="000000"/>
          <w:sz w:val="24"/>
          <w:szCs w:val="24"/>
        </w:rPr>
        <w:t xml:space="preserve"> normalized with</w:t>
      </w:r>
      <w:r>
        <w:rPr>
          <w:rFonts w:ascii="Times New Roman" w:hAnsi="Times New Roman" w:cs="Times New Roman"/>
          <w:color w:val="000000"/>
          <w:sz w:val="24"/>
          <w:szCs w:val="24"/>
        </w:rPr>
        <w:t xml:space="preserve"> α-tubulin; </w:t>
      </w:r>
      <w:r>
        <w:rPr>
          <w:rFonts w:ascii="Times New Roman" w:hAnsi="Times New Roman" w:cs="Times New Roman"/>
          <w:bCs/>
          <w:color w:val="000000"/>
          <w:sz w:val="24"/>
          <w:szCs w:val="24"/>
        </w:rPr>
        <w:t>H3K4me3 (H) was normalized with histone H3</w:t>
      </w:r>
      <w:r>
        <w:rPr>
          <w:rFonts w:hint="eastAsia" w:ascii="Times New Roman" w:hAnsi="Times New Roman" w:cs="Times New Roman"/>
          <w:bCs/>
          <w:color w:val="000000"/>
          <w:sz w:val="24"/>
          <w:szCs w:val="24"/>
        </w:rPr>
        <w:t>.</w:t>
      </w:r>
      <w:r>
        <w:rPr>
          <w:rFonts w:ascii="Times New Roman" w:hAnsi="Times New Roman" w:cs="Times New Roman"/>
          <w:color w:val="000000"/>
          <w:sz w:val="24"/>
          <w:szCs w:val="24"/>
        </w:rPr>
        <w:t xml:space="preserve"> Signal obtained from the control (Ctrl) sample was set as 1. </w:t>
      </w:r>
      <w:r>
        <w:rPr>
          <w:rFonts w:ascii="Times New Roman" w:hAnsi="Times New Roman" w:cs="Times New Roman"/>
          <w:bCs/>
          <w:color w:val="000000"/>
          <w:sz w:val="24"/>
          <w:szCs w:val="24"/>
        </w:rPr>
        <w:t>Values are mean ± SD. A representative result from at least three experiments was shown. *P &lt; 0.05, **P &lt; 0.01, ***P &lt; 0.001.</w:t>
      </w:r>
      <w:r>
        <w:rPr>
          <w:rFonts w:ascii="Times New Roman" w:hAnsi="Times New Roman" w:eastAsia="DengXian" w:cs="Times New Roman"/>
          <w:bCs/>
          <w:sz w:val="24"/>
          <w:szCs w:val="24"/>
        </w:rPr>
        <w:t xml:space="preserve"> ns means not significant.</w:t>
      </w:r>
    </w:p>
    <w:bookmarkEnd w:id="0"/>
    <w:bookmarkEnd w:id="1"/>
    <w:p>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drawing>
          <wp:inline distT="0" distB="0" distL="0" distR="0">
            <wp:extent cx="5595620" cy="4890135"/>
            <wp:effectExtent l="0" t="0" r="508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602738" cy="4896567"/>
                    </a:xfrm>
                    <a:prstGeom prst="rect">
                      <a:avLst/>
                    </a:prstGeom>
                    <a:noFill/>
                  </pic:spPr>
                </pic:pic>
              </a:graphicData>
            </a:graphic>
          </wp:inline>
        </w:drawing>
      </w:r>
      <w:r>
        <w:rPr>
          <w:rFonts w:ascii="Times New Roman" w:hAnsi="Times New Roman" w:cs="Times New Roman"/>
          <w:b/>
          <w:bCs/>
          <w:sz w:val="24"/>
          <w:szCs w:val="24"/>
        </w:rPr>
        <w:t>Supplemental Figure 5. MLL1/ WDR5 is required for cisplatin (CP)-induced formation of γ-H2AX in kidney and in cultured murine proximal renal tubular epithelial cells (RPTCs).</w:t>
      </w:r>
      <w:r>
        <w:rPr>
          <w:rFonts w:ascii="Times New Roman" w:hAnsi="Times New Roman" w:cs="Times New Roman"/>
          <w:bCs/>
          <w:sz w:val="24"/>
          <w:szCs w:val="24"/>
        </w:rPr>
        <w:t xml:space="preserve"> RPTCs were treated with MM102 (50 μM) or transfected with siRNA targeting MLL1 or WDR5 and then exposed to CP (20 μM) for an additional 24 h. Mice were intraperitoneally injected with MM102 (15 mg/kg) 2 h before the CP (20 mg/kg) injection, and then given daily for three consecutive days. All the mice were euthanized 72 h after CP injection (n=5 </w:t>
      </w:r>
      <w:r>
        <w:rPr>
          <w:rFonts w:ascii="Times New Roman" w:hAnsi="Times New Roman" w:cs="Times New Roman"/>
          <w:sz w:val="24"/>
          <w:szCs w:val="24"/>
        </w:rPr>
        <w:t>for each group</w:t>
      </w:r>
      <w:r>
        <w:rPr>
          <w:rFonts w:ascii="Times New Roman" w:hAnsi="Times New Roman" w:cs="Times New Roman"/>
          <w:bCs/>
          <w:sz w:val="24"/>
          <w:szCs w:val="24"/>
        </w:rPr>
        <w:t>). The bands and graphs presented show Western blotting results for phospho-histone H2AX (γ-H2AX), H2AX in vitro (A-F) and in vivo (G, H)</w:t>
      </w:r>
      <w:r>
        <w:rPr>
          <w:rFonts w:ascii="Times New Roman" w:hAnsi="Times New Roman" w:cs="Times New Roman"/>
          <w:bCs/>
          <w:color w:val="000000" w:themeColor="text1"/>
          <w:sz w:val="24"/>
          <w:szCs w:val="24"/>
          <w14:textFill>
            <w14:solidFill>
              <w14:schemeClr w14:val="tx1"/>
            </w14:solidFill>
          </w14:textFill>
        </w:rPr>
        <w:t>.</w:t>
      </w:r>
      <w:r>
        <w:rPr>
          <w:rFonts w:ascii="Times New Roman" w:hAnsi="Times New Roman" w:cs="Times New Roman"/>
          <w:bCs/>
          <w:sz w:val="24"/>
          <w:szCs w:val="24"/>
        </w:rPr>
        <w:t xml:space="preserve"> Values are mean ± SD.</w:t>
      </w:r>
      <w:r>
        <w:rPr>
          <w:rFonts w:ascii="Times New Roman" w:hAnsi="Times New Roman" w:cs="Times New Roman"/>
          <w:sz w:val="24"/>
          <w:szCs w:val="24"/>
        </w:rPr>
        <w:t xml:space="preserve"> </w:t>
      </w:r>
      <w:r>
        <w:rPr>
          <w:rFonts w:ascii="Times New Roman" w:hAnsi="Times New Roman" w:cs="Times New Roman"/>
          <w:bCs/>
          <w:sz w:val="24"/>
          <w:szCs w:val="24"/>
        </w:rPr>
        <w:t>A representative result from at least three experiments was shown. ***P &lt; 0.001</w:t>
      </w:r>
      <w:r>
        <w:rPr>
          <w:rFonts w:hint="eastAsia" w:ascii="Times New Roman" w:hAnsi="Times New Roman" w:cs="Times New Roman"/>
          <w:bCs/>
          <w:sz w:val="24"/>
          <w:szCs w:val="24"/>
        </w:rPr>
        <w:t>.</w:t>
      </w:r>
      <w:r>
        <w:rPr>
          <w:rFonts w:ascii="Times New Roman" w:hAnsi="Times New Roman" w:cs="Times New Roman"/>
          <w:bCs/>
          <w:sz w:val="24"/>
          <w:szCs w:val="24"/>
        </w:rPr>
        <w:t xml:space="preserve"> </w:t>
      </w:r>
    </w:p>
    <w:sectPr>
      <w:footerReference r:id="rId5"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engXian">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20609239"/>
      <w:docPartObj>
        <w:docPartGallery w:val="AutoText"/>
      </w:docPartObj>
    </w:sdtPr>
    <w:sdtContent>
      <w:p>
        <w:pPr>
          <w:pStyle w:val="2"/>
          <w:jc w:val="center"/>
        </w:pPr>
        <w:r>
          <w:fldChar w:fldCharType="begin"/>
        </w:r>
        <w:r>
          <w:instrText xml:space="preserve"> PAGE   \* MERGEFORMAT </w:instrText>
        </w:r>
        <w:r>
          <w:fldChar w:fldCharType="separate"/>
        </w:r>
        <w:r>
          <w:t>4</w:t>
        </w:r>
        <w:r>
          <w:fldChar w:fldCharType="end"/>
        </w:r>
      </w:p>
    </w:sdtContent>
  </w:sdt>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E21"/>
    <w:rsid w:val="00002610"/>
    <w:rsid w:val="00032E4C"/>
    <w:rsid w:val="0003760E"/>
    <w:rsid w:val="00041BCD"/>
    <w:rsid w:val="00061582"/>
    <w:rsid w:val="00071C6C"/>
    <w:rsid w:val="00074318"/>
    <w:rsid w:val="0008118C"/>
    <w:rsid w:val="00083E43"/>
    <w:rsid w:val="00093AB3"/>
    <w:rsid w:val="000D1F1A"/>
    <w:rsid w:val="00134A83"/>
    <w:rsid w:val="00134ED4"/>
    <w:rsid w:val="00141DBD"/>
    <w:rsid w:val="00151472"/>
    <w:rsid w:val="00155A77"/>
    <w:rsid w:val="001A13E9"/>
    <w:rsid w:val="001B2137"/>
    <w:rsid w:val="001D6902"/>
    <w:rsid w:val="001D6B10"/>
    <w:rsid w:val="001E7AD6"/>
    <w:rsid w:val="0020228A"/>
    <w:rsid w:val="0021627C"/>
    <w:rsid w:val="002219F5"/>
    <w:rsid w:val="00236962"/>
    <w:rsid w:val="00242098"/>
    <w:rsid w:val="00295AD4"/>
    <w:rsid w:val="00296FB7"/>
    <w:rsid w:val="002F0EDA"/>
    <w:rsid w:val="003276FA"/>
    <w:rsid w:val="003401BC"/>
    <w:rsid w:val="003416D6"/>
    <w:rsid w:val="003619E0"/>
    <w:rsid w:val="003826BA"/>
    <w:rsid w:val="00386A14"/>
    <w:rsid w:val="003B0F48"/>
    <w:rsid w:val="003B2B6D"/>
    <w:rsid w:val="003C7355"/>
    <w:rsid w:val="003D4728"/>
    <w:rsid w:val="003E2C93"/>
    <w:rsid w:val="003E3A52"/>
    <w:rsid w:val="003F10C8"/>
    <w:rsid w:val="00441EAB"/>
    <w:rsid w:val="004B7CBC"/>
    <w:rsid w:val="004E4DD6"/>
    <w:rsid w:val="004E74F6"/>
    <w:rsid w:val="004F14DD"/>
    <w:rsid w:val="00507393"/>
    <w:rsid w:val="00521803"/>
    <w:rsid w:val="00526E32"/>
    <w:rsid w:val="0055399E"/>
    <w:rsid w:val="005A730E"/>
    <w:rsid w:val="005C043B"/>
    <w:rsid w:val="005D1DD1"/>
    <w:rsid w:val="00625667"/>
    <w:rsid w:val="00636CC3"/>
    <w:rsid w:val="00660619"/>
    <w:rsid w:val="00665018"/>
    <w:rsid w:val="00683B37"/>
    <w:rsid w:val="00693E53"/>
    <w:rsid w:val="006A2423"/>
    <w:rsid w:val="007006A6"/>
    <w:rsid w:val="00742A82"/>
    <w:rsid w:val="00744573"/>
    <w:rsid w:val="0074693F"/>
    <w:rsid w:val="00754028"/>
    <w:rsid w:val="00767AE1"/>
    <w:rsid w:val="007C75B3"/>
    <w:rsid w:val="008103EF"/>
    <w:rsid w:val="00837B2C"/>
    <w:rsid w:val="00862172"/>
    <w:rsid w:val="008705EE"/>
    <w:rsid w:val="00873AD0"/>
    <w:rsid w:val="00894B9B"/>
    <w:rsid w:val="008A40CA"/>
    <w:rsid w:val="00913003"/>
    <w:rsid w:val="009201B9"/>
    <w:rsid w:val="00922954"/>
    <w:rsid w:val="009317D6"/>
    <w:rsid w:val="009727EF"/>
    <w:rsid w:val="009B157A"/>
    <w:rsid w:val="009E290B"/>
    <w:rsid w:val="009E4043"/>
    <w:rsid w:val="009F1EEE"/>
    <w:rsid w:val="00B158AF"/>
    <w:rsid w:val="00B25F3F"/>
    <w:rsid w:val="00B25F85"/>
    <w:rsid w:val="00B4322B"/>
    <w:rsid w:val="00B50F0D"/>
    <w:rsid w:val="00B66E21"/>
    <w:rsid w:val="00B71872"/>
    <w:rsid w:val="00B9247A"/>
    <w:rsid w:val="00B95B5D"/>
    <w:rsid w:val="00BC1769"/>
    <w:rsid w:val="00BD371F"/>
    <w:rsid w:val="00BE18C9"/>
    <w:rsid w:val="00BE3ED6"/>
    <w:rsid w:val="00C76FB4"/>
    <w:rsid w:val="00C80BFE"/>
    <w:rsid w:val="00C85E4E"/>
    <w:rsid w:val="00C92F3F"/>
    <w:rsid w:val="00CA5B48"/>
    <w:rsid w:val="00CC009C"/>
    <w:rsid w:val="00CD7584"/>
    <w:rsid w:val="00CE4A2B"/>
    <w:rsid w:val="00CF657F"/>
    <w:rsid w:val="00D31F43"/>
    <w:rsid w:val="00D5683F"/>
    <w:rsid w:val="00D61B75"/>
    <w:rsid w:val="00D62799"/>
    <w:rsid w:val="00D6402E"/>
    <w:rsid w:val="00D7138A"/>
    <w:rsid w:val="00D805E3"/>
    <w:rsid w:val="00D91A75"/>
    <w:rsid w:val="00DA68C8"/>
    <w:rsid w:val="00DD0191"/>
    <w:rsid w:val="00DD4391"/>
    <w:rsid w:val="00DD4ABA"/>
    <w:rsid w:val="00DE49FE"/>
    <w:rsid w:val="00E550B9"/>
    <w:rsid w:val="00E74008"/>
    <w:rsid w:val="00E7636F"/>
    <w:rsid w:val="00E96002"/>
    <w:rsid w:val="00ED409B"/>
    <w:rsid w:val="00F134FF"/>
    <w:rsid w:val="00F250B7"/>
    <w:rsid w:val="00F314B6"/>
    <w:rsid w:val="00F72D29"/>
    <w:rsid w:val="00F904A8"/>
    <w:rsid w:val="00F91344"/>
    <w:rsid w:val="00FA75AC"/>
    <w:rsid w:val="00FC312E"/>
    <w:rsid w:val="00FD06CE"/>
    <w:rsid w:val="7AFE1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680"/>
        <w:tab w:val="right" w:pos="9360"/>
      </w:tabs>
    </w:pPr>
  </w:style>
  <w:style w:type="paragraph" w:styleId="3">
    <w:name w:val="header"/>
    <w:basedOn w:val="1"/>
    <w:link w:val="7"/>
    <w:unhideWhenUsed/>
    <w:qFormat/>
    <w:uiPriority w:val="99"/>
    <w:pPr>
      <w:tabs>
        <w:tab w:val="center" w:pos="4680"/>
        <w:tab w:val="right" w:pos="9360"/>
      </w:tabs>
    </w:pPr>
  </w:style>
  <w:style w:type="paragraph" w:styleId="4">
    <w:name w:val="Normal (Web)"/>
    <w:basedOn w:val="1"/>
    <w:unhideWhenUsed/>
    <w:uiPriority w:val="99"/>
    <w:pPr>
      <w:widowControl/>
      <w:spacing w:before="100" w:beforeAutospacing="1" w:after="100" w:afterAutospacing="1"/>
      <w:jc w:val="left"/>
    </w:pPr>
    <w:rPr>
      <w:rFonts w:ascii="SimSun" w:hAnsi="SimSun" w:eastAsia="SimSun" w:cs="SimSun"/>
      <w:kern w:val="0"/>
      <w:sz w:val="24"/>
      <w:szCs w:val="24"/>
    </w:rPr>
  </w:style>
  <w:style w:type="character" w:customStyle="1" w:styleId="7">
    <w:name w:val="页眉 Char"/>
    <w:basedOn w:val="6"/>
    <w:link w:val="3"/>
    <w:uiPriority w:val="99"/>
    <w:rPr>
      <w:kern w:val="2"/>
      <w:sz w:val="21"/>
    </w:rPr>
  </w:style>
  <w:style w:type="character" w:customStyle="1" w:styleId="8">
    <w:name w:val="页脚 Char"/>
    <w:basedOn w:val="6"/>
    <w:link w:val="2"/>
    <w:qFormat/>
    <w:uiPriority w:val="99"/>
    <w:rPr>
      <w:kern w:val="2"/>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3.tiff"/><Relationship Id="rId8" Type="http://schemas.openxmlformats.org/officeDocument/2006/relationships/image" Target="media/image2.tiff"/><Relationship Id="rId7" Type="http://schemas.openxmlformats.org/officeDocument/2006/relationships/image" Target="media/image1.tiff"/><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1.jpeg"/><Relationship Id="rId10" Type="http://schemas.openxmlformats.org/officeDocument/2006/relationships/image" Target="media/image4.tif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552</Words>
  <Characters>2817</Characters>
  <Lines>24</Lines>
  <Paragraphs>6</Paragraphs>
  <TotalTime>90</TotalTime>
  <ScaleCrop>false</ScaleCrop>
  <LinksUpToDate>false</LinksUpToDate>
  <CharactersWithSpaces>3368</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2022-01-19T22:09:00Z</dcterms:created>
  <dc:creator>Zhuang, Shougang</dc:creator>
  <cp:lastModifiedBy>Shougang Zhuang</cp:lastModifiedBy>
  <dcterms:modified xsi:type="dcterms:W3CDTF">2022-07-03T23:13:36Z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6F408AB7AC2F47809E9AF98F037342F5</vt:lpwstr>
  </property>
</Properties>
</file>