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Galectin-3 critically mediates the hepatoprotection conferred by M2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/>
        </w:rPr>
        <w:t>-like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macrophages in ACLF </w:t>
      </w:r>
      <w:r>
        <w:rPr>
          <w:rFonts w:ascii="Times New Roman" w:hAnsi="Times New Roman" w:eastAsia="宋体" w:cs="Times New Roman"/>
          <w:b/>
          <w:bCs/>
          <w:sz w:val="32"/>
          <w:szCs w:val="32"/>
        </w:rPr>
        <w:t>by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inhibiting pyroptosis but not necroptosis signalling</w:t>
      </w:r>
    </w:p>
    <w:p>
      <w:pPr>
        <w:spacing w:line="480" w:lineRule="auto"/>
        <w:jc w:val="center"/>
        <w:rPr>
          <w:rStyle w:val="11"/>
          <w:rFonts w:ascii="Times New Roman" w:hAnsi="Times New Roman" w:eastAsia="宋体" w:cs="Times New Roman"/>
          <w:sz w:val="24"/>
          <w:szCs w:val="24"/>
        </w:rPr>
      </w:pPr>
    </w:p>
    <w:p>
      <w:pPr>
        <w:spacing w:line="480" w:lineRule="auto"/>
        <w:jc w:val="center"/>
        <w:rPr>
          <w:rStyle w:val="11"/>
          <w:rFonts w:ascii="Times New Roman" w:hAnsi="Times New Roman" w:eastAsia="宋体" w:cs="Times New Roman"/>
          <w:sz w:val="24"/>
          <w:szCs w:val="24"/>
        </w:rPr>
      </w:pPr>
      <w:r>
        <w:rPr>
          <w:rStyle w:val="11"/>
          <w:rFonts w:ascii="Times New Roman" w:hAnsi="Times New Roman" w:eastAsia="宋体" w:cs="Times New Roman"/>
          <w:sz w:val="24"/>
          <w:szCs w:val="24"/>
        </w:rPr>
        <w:t>Li Bai</w:t>
      </w:r>
      <w:r>
        <w:rPr>
          <w:rStyle w:val="11"/>
          <w:rFonts w:ascii="Times New Roman" w:hAnsi="Times New Roman" w:eastAsia="宋体" w:cs="Times New Roman"/>
          <w:sz w:val="24"/>
          <w:szCs w:val="24"/>
          <w:vertAlign w:val="superscript"/>
        </w:rPr>
        <w:t>1, 2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>, Wang Lu</w:t>
      </w:r>
      <w:r>
        <w:rPr>
          <w:rStyle w:val="11"/>
          <w:rFonts w:ascii="Times New Roman" w:hAnsi="Times New Roman" w:eastAsia="宋体" w:cs="Times New Roman"/>
          <w:sz w:val="24"/>
          <w:szCs w:val="24"/>
          <w:vertAlign w:val="superscript"/>
        </w:rPr>
        <w:t>1, 2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>, Shan Tang</w:t>
      </w:r>
      <w:r>
        <w:rPr>
          <w:rStyle w:val="11"/>
          <w:rFonts w:ascii="Times New Roman" w:hAnsi="Times New Roman" w:eastAsia="宋体" w:cs="Times New Roman"/>
          <w:sz w:val="24"/>
          <w:szCs w:val="24"/>
          <w:vertAlign w:val="superscript"/>
        </w:rPr>
        <w:t>3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 xml:space="preserve">, </w:t>
      </w:r>
      <w:r>
        <w:rPr>
          <w:rStyle w:val="11"/>
          <w:rFonts w:hint="eastAsia" w:ascii="Times New Roman" w:hAnsi="Times New Roman" w:eastAsia="宋体" w:cs="Times New Roman"/>
          <w:sz w:val="24"/>
          <w:szCs w:val="24"/>
          <w:lang w:val="en-US"/>
        </w:rPr>
        <w:t>Huixin Tang</w:t>
      </w:r>
      <w:r>
        <w:rPr>
          <w:rStyle w:val="11"/>
          <w:rFonts w:hint="eastAsia" w:ascii="Times New Roman" w:hAnsi="Times New Roman" w:eastAsia="宋体" w:cs="Times New Roman"/>
          <w:sz w:val="24"/>
          <w:szCs w:val="24"/>
          <w:vertAlign w:val="superscript"/>
          <w:lang w:val="en-US"/>
        </w:rPr>
        <w:t>1, 2</w:t>
      </w:r>
      <w:r>
        <w:rPr>
          <w:rStyle w:val="11"/>
          <w:rFonts w:hint="eastAsia" w:ascii="Times New Roman" w:hAnsi="Times New Roman" w:eastAsia="宋体" w:cs="Times New Roman"/>
          <w:sz w:val="24"/>
          <w:szCs w:val="24"/>
          <w:lang w:val="en-US"/>
        </w:rPr>
        <w:t>, Manman Xu</w:t>
      </w:r>
      <w:r>
        <w:rPr>
          <w:rStyle w:val="11"/>
          <w:rFonts w:ascii="Times New Roman" w:hAnsi="Times New Roman" w:eastAsia="宋体" w:cs="Times New Roman"/>
          <w:sz w:val="24"/>
          <w:szCs w:val="24"/>
          <w:vertAlign w:val="superscript"/>
        </w:rPr>
        <w:t>1, 2</w:t>
      </w:r>
      <w:r>
        <w:rPr>
          <w:rStyle w:val="11"/>
          <w:rFonts w:hint="eastAsia" w:ascii="Times New Roman" w:hAnsi="Times New Roman" w:eastAsia="宋体" w:cs="Times New Roman"/>
          <w:sz w:val="24"/>
          <w:szCs w:val="24"/>
          <w:lang w:val="en-US"/>
        </w:rPr>
        <w:t xml:space="preserve">, 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>Chen Liang</w:t>
      </w:r>
      <w:r>
        <w:rPr>
          <w:rStyle w:val="11"/>
          <w:rFonts w:ascii="Times New Roman" w:hAnsi="Times New Roman" w:eastAsia="宋体" w:cs="Times New Roman"/>
          <w:sz w:val="24"/>
          <w:szCs w:val="24"/>
          <w:vertAlign w:val="superscript"/>
        </w:rPr>
        <w:t>3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>, Sujun Zheng</w:t>
      </w:r>
      <w:r>
        <w:rPr>
          <w:rStyle w:val="11"/>
          <w:rFonts w:ascii="Times New Roman" w:hAnsi="Times New Roman" w:eastAsia="宋体" w:cs="Times New Roman"/>
          <w:sz w:val="24"/>
          <w:szCs w:val="24"/>
          <w:vertAlign w:val="superscript"/>
        </w:rPr>
        <w:t>3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>, Shuang Liu</w:t>
      </w:r>
      <w:r>
        <w:rPr>
          <w:rStyle w:val="11"/>
          <w:rFonts w:ascii="Times New Roman" w:hAnsi="Times New Roman" w:eastAsia="宋体" w:cs="Times New Roman"/>
          <w:sz w:val="24"/>
          <w:szCs w:val="24"/>
          <w:vertAlign w:val="superscript"/>
        </w:rPr>
        <w:t>1, 2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>, Ming Kong</w:t>
      </w:r>
      <w:r>
        <w:rPr>
          <w:rStyle w:val="11"/>
          <w:rFonts w:ascii="Times New Roman" w:hAnsi="Times New Roman" w:eastAsia="宋体" w:cs="Times New Roman"/>
          <w:sz w:val="24"/>
          <w:szCs w:val="24"/>
          <w:vertAlign w:val="superscript"/>
        </w:rPr>
        <w:t>1, 2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>, Zhongping Duan</w:t>
      </w:r>
      <w:r>
        <w:rPr>
          <w:rStyle w:val="11"/>
          <w:rFonts w:ascii="Times New Roman" w:hAnsi="Times New Roman" w:eastAsia="宋体" w:cs="Times New Roman"/>
          <w:sz w:val="24"/>
          <w:szCs w:val="24"/>
          <w:vertAlign w:val="superscript"/>
        </w:rPr>
        <w:t>1, 2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>, Yu Chen</w:t>
      </w:r>
      <w:r>
        <w:rPr>
          <w:rStyle w:val="11"/>
          <w:rFonts w:ascii="Times New Roman" w:hAnsi="Times New Roman" w:eastAsia="宋体" w:cs="Times New Roman"/>
          <w:sz w:val="24"/>
          <w:szCs w:val="24"/>
          <w:vertAlign w:val="superscript"/>
        </w:rPr>
        <w:t>1, 2</w:t>
      </w:r>
      <w:r>
        <w:rPr>
          <w:rStyle w:val="11"/>
          <w:rFonts w:ascii="微软雅黑" w:hAnsi="微软雅黑" w:eastAsia="微软雅黑" w:cs="微软雅黑"/>
          <w:sz w:val="24"/>
          <w:szCs w:val="24"/>
          <w:vertAlign w:val="superscript"/>
        </w:rPr>
        <w:t>†</w:t>
      </w:r>
    </w:p>
    <w:p>
      <w:pPr>
        <w:widowControl/>
        <w:spacing w:line="480" w:lineRule="auto"/>
        <w:rPr>
          <w:rFonts w:ascii="Times New Roman" w:hAnsi="Times New Roman"/>
          <w:b/>
          <w:sz w:val="24"/>
        </w:rPr>
      </w:pPr>
    </w:p>
    <w:p>
      <w:pPr>
        <w:widowControl/>
        <w:spacing w:line="480" w:lineRule="auto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 xml:space="preserve">Abbreviations: </w:t>
      </w:r>
      <w:r>
        <w:rPr>
          <w:rFonts w:ascii="Times New Roman" w:hAnsi="Times New Roman"/>
          <w:kern w:val="0"/>
          <w:sz w:val="24"/>
        </w:rPr>
        <w:t>SPF</w:t>
      </w:r>
      <w:r>
        <w:rPr>
          <w:rFonts w:hint="eastAsia" w:ascii="Times New Roman" w:hAnsi="Times New Roman"/>
          <w:kern w:val="0"/>
          <w:sz w:val="24"/>
        </w:rPr>
        <w:t xml:space="preserve">, </w:t>
      </w:r>
      <w:r>
        <w:rPr>
          <w:rFonts w:ascii="Times New Roman" w:hAnsi="Times New Roman"/>
          <w:kern w:val="0"/>
          <w:sz w:val="24"/>
        </w:rPr>
        <w:t>specific pathogen</w:t>
      </w:r>
      <w:r>
        <w:rPr>
          <w:rFonts w:hint="eastAsia" w:ascii="Times New Roman" w:hAnsi="Times New Roman"/>
          <w:kern w:val="0"/>
          <w:sz w:val="24"/>
        </w:rPr>
        <w:t xml:space="preserve"> </w:t>
      </w:r>
      <w:r>
        <w:rPr>
          <w:rFonts w:ascii="Times New Roman" w:hAnsi="Times New Roman"/>
          <w:kern w:val="0"/>
          <w:sz w:val="24"/>
        </w:rPr>
        <w:t>free</w:t>
      </w:r>
      <w:r>
        <w:rPr>
          <w:rFonts w:hint="eastAsia" w:ascii="Times New Roman" w:hAnsi="Times New Roman"/>
          <w:kern w:val="0"/>
          <w:sz w:val="24"/>
        </w:rPr>
        <w:t xml:space="preserve">; </w:t>
      </w:r>
      <w:r>
        <w:rPr>
          <w:rFonts w:hint="eastAsia" w:ascii="Times New Roman" w:hAnsi="Times New Roman"/>
          <w:kern w:val="0"/>
          <w:sz w:val="24"/>
          <w:lang w:val="en-US"/>
        </w:rPr>
        <w:t xml:space="preserve">GAL3, galectin-3; </w:t>
      </w:r>
      <w:r>
        <w:rPr>
          <w:rFonts w:hint="eastAsia" w:ascii="Times New Roman" w:hAnsi="Times New Roman"/>
          <w:kern w:val="0"/>
          <w:sz w:val="24"/>
        </w:rPr>
        <w:t xml:space="preserve">ALT, alanine aminotransferase; AST, aspartate aminotransferase; H&amp;E, </w:t>
      </w:r>
      <w:r>
        <w:rPr>
          <w:rFonts w:ascii="Times New Roman" w:hAnsi="Times New Roman"/>
          <w:kern w:val="0"/>
          <w:sz w:val="24"/>
        </w:rPr>
        <w:t>hematoxylin</w:t>
      </w:r>
      <w:r>
        <w:rPr>
          <w:rFonts w:hint="eastAsia" w:ascii="Times New Roman" w:hAnsi="Times New Roman"/>
          <w:kern w:val="0"/>
          <w:sz w:val="24"/>
        </w:rPr>
        <w:t>-</w:t>
      </w:r>
      <w:r>
        <w:rPr>
          <w:rFonts w:ascii="Times New Roman" w:hAnsi="Times New Roman"/>
          <w:kern w:val="0"/>
          <w:sz w:val="24"/>
        </w:rPr>
        <w:t>eosin</w:t>
      </w:r>
      <w:r>
        <w:rPr>
          <w:rFonts w:hint="eastAsia" w:ascii="Times New Roman" w:hAnsi="Times New Roman"/>
          <w:kern w:val="0"/>
          <w:sz w:val="24"/>
        </w:rPr>
        <w:t xml:space="preserve">; </w:t>
      </w:r>
      <w:r>
        <w:rPr>
          <w:rFonts w:hint="eastAsia" w:ascii="Times New Roman" w:hAnsi="Times New Roman"/>
          <w:bCs/>
          <w:iCs/>
          <w:kern w:val="0"/>
          <w:sz w:val="24"/>
        </w:rPr>
        <w:t xml:space="preserve">qPCR, </w:t>
      </w:r>
      <w:r>
        <w:rPr>
          <w:rFonts w:ascii="Times New Roman" w:hAnsi="Times New Roman"/>
          <w:bCs/>
          <w:iCs/>
          <w:kern w:val="0"/>
          <w:sz w:val="24"/>
        </w:rPr>
        <w:t>quantitative polymerase chain reaction</w:t>
      </w:r>
      <w:r>
        <w:rPr>
          <w:rFonts w:hint="eastAsia" w:ascii="Times New Roman" w:hAnsi="Times New Roman"/>
          <w:bCs/>
          <w:iCs/>
          <w:kern w:val="0"/>
          <w:sz w:val="24"/>
        </w:rPr>
        <w:t>; IF, immunofluorescence;</w:t>
      </w:r>
      <w:r>
        <w:rPr>
          <w:rFonts w:hint="eastAsia" w:ascii="Times New Roman" w:hAnsi="Times New Roman"/>
          <w:bCs/>
          <w:iCs/>
          <w:kern w:val="0"/>
          <w:sz w:val="24"/>
          <w:lang w:val="en-US"/>
        </w:rPr>
        <w:t xml:space="preserve"> </w:t>
      </w:r>
      <w:r>
        <w:rPr>
          <w:rFonts w:hint="eastAsia" w:ascii="Times New Roman" w:hAnsi="Times New Roman"/>
          <w:bCs/>
          <w:iCs/>
          <w:kern w:val="0"/>
          <w:sz w:val="24"/>
        </w:rPr>
        <w:t xml:space="preserve">IHC, immunohistochemistry; </w:t>
      </w:r>
      <w:r>
        <w:rPr>
          <w:rFonts w:hint="eastAsia" w:ascii="Times New Roman" w:hAnsi="Times New Roman"/>
          <w:kern w:val="0"/>
          <w:sz w:val="24"/>
        </w:rPr>
        <w:t>PVDF, polyvinylidene difluoride; PBS, phosphate-buffered saline; DMSO, dimethylsulfoxide; CCl</w:t>
      </w:r>
      <w:r>
        <w:rPr>
          <w:rFonts w:hint="eastAsia" w:ascii="Times New Roman" w:hAnsi="Times New Roman"/>
          <w:kern w:val="0"/>
          <w:sz w:val="24"/>
          <w:vertAlign w:val="subscript"/>
        </w:rPr>
        <w:t>4</w:t>
      </w:r>
      <w:r>
        <w:rPr>
          <w:rFonts w:hint="eastAsia" w:ascii="Times New Roman" w:hAnsi="Times New Roman"/>
          <w:kern w:val="0"/>
          <w:sz w:val="24"/>
        </w:rPr>
        <w:t>, carbon tetrachloride; MLKL, mixed-lineage kinase domain-like protein; NLRP3, NLR family pyrin domain containing 3; GSDMD, gasdermin D; ASC, apoptotic speck-like protein with a caspaseactivating domain; IL, interleukin; D-GalN, D-</w:t>
      </w:r>
      <w:r>
        <w:rPr>
          <w:rStyle w:val="11"/>
          <w:rFonts w:hint="eastAsia" w:ascii="Times New Roman" w:hAnsi="Times New Roman" w:eastAsia="宋体" w:cs="Times New Roman"/>
          <w:sz w:val="24"/>
          <w:szCs w:val="24"/>
        </w:rPr>
        <w:t xml:space="preserve">galactosamine; LPS, lipopolysaccharide; </w:t>
      </w:r>
    </w:p>
    <w:p>
      <w:pPr>
        <w:widowControl/>
        <w:spacing w:line="480" w:lineRule="auto"/>
        <w:rPr>
          <w:rFonts w:ascii="Times New Roman" w:hAnsi="Times New Roman"/>
          <w:b/>
          <w:sz w:val="24"/>
        </w:rPr>
      </w:pPr>
    </w:p>
    <w:p>
      <w:pPr>
        <w:widowControl/>
        <w:spacing w:line="48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Supporting Materials</w:t>
      </w:r>
    </w:p>
    <w:p>
      <w:pPr>
        <w:widowControl/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Animals</w:t>
      </w:r>
    </w:p>
    <w:p>
      <w:pPr>
        <w:widowControl/>
        <w:spacing w:line="480" w:lineRule="auto"/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kern w:val="0"/>
          <w:sz w:val="24"/>
        </w:rPr>
        <w:t xml:space="preserve">Six-week-old male BALB/c mice were purchased from </w:t>
      </w:r>
      <w:r>
        <w:rPr>
          <w:rFonts w:ascii="Times New Roman" w:hAnsi="Times New Roman" w:eastAsia="宋体" w:cs="Times New Roman"/>
          <w:kern w:val="0"/>
          <w:sz w:val="24"/>
        </w:rPr>
        <w:t xml:space="preserve">the </w:t>
      </w:r>
      <w:r>
        <w:rPr>
          <w:rFonts w:ascii="Times New Roman" w:hAnsi="Times New Roman"/>
          <w:kern w:val="0"/>
          <w:sz w:val="24"/>
        </w:rPr>
        <w:t xml:space="preserve">Laboratory Animal Breeding Center of Beijing LongAn, Beijing, China. Mice were maintained in a </w:t>
      </w:r>
      <w:bookmarkStart w:id="0" w:name="OLE_LINK8"/>
      <w:r>
        <w:rPr>
          <w:rFonts w:ascii="Times New Roman" w:hAnsi="Times New Roman"/>
          <w:kern w:val="0"/>
          <w:sz w:val="24"/>
        </w:rPr>
        <w:t>specific pathogen</w:t>
      </w:r>
      <w:r>
        <w:rPr>
          <w:rFonts w:ascii="Times New Roman" w:hAnsi="Times New Roman" w:eastAsia="宋体" w:cs="Times New Roman"/>
          <w:kern w:val="0"/>
          <w:sz w:val="24"/>
        </w:rPr>
        <w:t>-</w:t>
      </w:r>
      <w:r>
        <w:rPr>
          <w:rFonts w:ascii="Times New Roman" w:hAnsi="Times New Roman"/>
          <w:kern w:val="0"/>
          <w:sz w:val="24"/>
        </w:rPr>
        <w:t>free (SPF)</w:t>
      </w:r>
      <w:bookmarkEnd w:id="0"/>
      <w:r>
        <w:rPr>
          <w:rFonts w:ascii="Times New Roman" w:hAnsi="Times New Roman"/>
          <w:kern w:val="0"/>
          <w:sz w:val="24"/>
        </w:rPr>
        <w:t xml:space="preserve"> environment at 22 °C-24 °C</w:t>
      </w:r>
      <w:r>
        <w:rPr>
          <w:rFonts w:ascii="Times New Roman" w:hAnsi="Times New Roman"/>
          <w:color w:val="333333"/>
          <w:sz w:val="24"/>
          <w:shd w:val="clear" w:color="auto" w:fill="FFFFFF"/>
        </w:rPr>
        <w:t xml:space="preserve"> with</w:t>
      </w:r>
      <w:r>
        <w:rPr>
          <w:rFonts w:ascii="Times New Roman" w:hAnsi="Times New Roman"/>
          <w:kern w:val="0"/>
          <w:sz w:val="24"/>
        </w:rPr>
        <w:t xml:space="preserve"> a 12-hour light-dark cycle</w:t>
      </w:r>
      <w:r>
        <w:rPr>
          <w:rFonts w:ascii="Times New Roman" w:hAnsi="Times New Roman"/>
          <w:color w:val="000000"/>
          <w:sz w:val="24"/>
        </w:rPr>
        <w:t>. Animals were fed standard laboratory chow</w:t>
      </w:r>
      <w:r>
        <w:rPr>
          <w:rFonts w:ascii="Times New Roman" w:hAnsi="Times New Roman"/>
          <w:kern w:val="0"/>
          <w:sz w:val="24"/>
        </w:rPr>
        <w:t xml:space="preserve"> and given free access to water. T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he Guide for the Care and Use of Laboratory Animals was followed during animal care and experimental procedures. The animal protocol was approved by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the </w:t>
      </w:r>
      <w:r>
        <w:rPr>
          <w:rFonts w:ascii="Times New Roman" w:hAnsi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Institutional Animal Care and Use Committee of Beijing YouAn Hospital, Capital Medical University.</w:t>
      </w:r>
    </w:p>
    <w:p>
      <w:pPr>
        <w:autoSpaceDE w:val="0"/>
        <w:autoSpaceDN w:val="0"/>
        <w:adjustRightInd w:val="0"/>
        <w:spacing w:before="156" w:beforeLines="50" w:line="480" w:lineRule="auto"/>
        <w:rPr>
          <w:rFonts w:ascii="Times New Roman" w:hAnsi="Times New Roman"/>
          <w:b/>
          <w:kern w:val="0"/>
          <w:sz w:val="24"/>
        </w:rPr>
      </w:pPr>
      <w:r>
        <w:rPr>
          <w:rFonts w:ascii="Times New Roman" w:hAnsi="Times New Roman"/>
          <w:b/>
          <w:kern w:val="0"/>
          <w:sz w:val="24"/>
        </w:rPr>
        <w:t>Animal protocol</w:t>
      </w:r>
    </w:p>
    <w:p>
      <w:pPr>
        <w:widowControl/>
        <w:spacing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The </w:t>
      </w:r>
      <w:r>
        <w:rPr>
          <w:rFonts w:ascii="Times New Roman" w:hAnsi="Times New Roman" w:eastAsia="宋体" w:cs="Times New Roman"/>
          <w:kern w:val="0"/>
          <w:sz w:val="24"/>
        </w:rPr>
        <w:t>experimental</w:t>
      </w:r>
      <w:r>
        <w:rPr>
          <w:rFonts w:ascii="Times New Roman" w:hAnsi="Times New Roman" w:cs="Times New Roman"/>
          <w:kern w:val="0"/>
          <w:sz w:val="24"/>
        </w:rPr>
        <w:t xml:space="preserve"> protocol was as follows: (1) Control: BALB/c mice were given mineral oil, </w:t>
      </w:r>
      <w:r>
        <w:rPr>
          <w:rFonts w:ascii="Times New Roman" w:hAnsi="Times New Roman"/>
          <w:kern w:val="0"/>
          <w:sz w:val="24"/>
        </w:rPr>
        <w:t>phosphate-buffered saline (</w:t>
      </w:r>
      <w:r>
        <w:rPr>
          <w:rFonts w:ascii="Times New Roman" w:hAnsi="Times New Roman" w:cs="Times New Roman"/>
          <w:kern w:val="0"/>
          <w:sz w:val="24"/>
        </w:rPr>
        <w:t xml:space="preserve">PBS) or </w:t>
      </w:r>
      <w:r>
        <w:rPr>
          <w:rFonts w:ascii="Times New Roman" w:hAnsi="Times New Roman"/>
          <w:kern w:val="0"/>
          <w:sz w:val="24"/>
        </w:rPr>
        <w:t>dimethylsulfoxide (</w:t>
      </w:r>
      <w:r>
        <w:rPr>
          <w:rFonts w:ascii="Times New Roman" w:hAnsi="Times New Roman" w:cs="Times New Roman"/>
          <w:kern w:val="0"/>
          <w:sz w:val="24"/>
        </w:rPr>
        <w:t xml:space="preserve">DMSO) </w:t>
      </w:r>
      <w:r>
        <w:rPr>
          <w:rFonts w:ascii="Times New Roman" w:hAnsi="Times New Roman" w:cs="Times New Roman"/>
          <w:sz w:val="24"/>
        </w:rPr>
        <w:t>as appropriate</w:t>
      </w:r>
      <w:r>
        <w:rPr>
          <w:rFonts w:ascii="Times New Roman" w:hAnsi="Times New Roman" w:cs="Times New Roman"/>
          <w:kern w:val="0"/>
          <w:sz w:val="24"/>
        </w:rPr>
        <w:t xml:space="preserve">. (2) The induction of hepatic fibrosis: BALB/c mice were injected intraperitoneally with 20% </w:t>
      </w:r>
      <w:r>
        <w:rPr>
          <w:rFonts w:ascii="Times New Roman" w:hAnsi="Times New Roman"/>
          <w:kern w:val="0"/>
          <w:sz w:val="24"/>
        </w:rPr>
        <w:t>carbon tetrachloride (</w:t>
      </w:r>
      <w:r>
        <w:rPr>
          <w:rFonts w:ascii="Times New Roman" w:hAnsi="Times New Roman" w:cs="Times New Roman"/>
          <w:kern w:val="0"/>
          <w:sz w:val="24"/>
        </w:rPr>
        <w:t>CCl</w:t>
      </w:r>
      <w:r>
        <w:rPr>
          <w:rFonts w:ascii="Times New Roman" w:hAnsi="Times New Roman" w:cs="Times New Roman"/>
          <w:kern w:val="0"/>
          <w:sz w:val="24"/>
          <w:vertAlign w:val="subscript"/>
        </w:rPr>
        <w:t>4</w:t>
      </w:r>
      <w:r>
        <w:rPr>
          <w:rFonts w:ascii="Times New Roman" w:hAnsi="Times New Roman" w:cs="Times New Roman"/>
          <w:kern w:val="0"/>
          <w:sz w:val="24"/>
        </w:rPr>
        <w:t>,</w:t>
      </w:r>
      <w:r>
        <w:rPr>
          <w:rFonts w:ascii="Times New Roman" w:hAnsi="Times New Roman" w:cs="Times New Roman"/>
          <w:kern w:val="0"/>
          <w:sz w:val="24"/>
          <w:vertAlign w:val="subscript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 xml:space="preserve">2 μl/g, in mineral oil) twice a week for 6 weeks. (3) </w:t>
      </w:r>
      <w:r>
        <w:fldChar w:fldCharType="begin"/>
      </w:r>
      <w:r>
        <w:instrText xml:space="preserve"> HYPERLINK "https://cn.bing.com/dict/search?q=Pharmacological&amp;FORM=BDVSP6&amp;mkt=zh-cn" </w:instrText>
      </w:r>
      <w:r>
        <w:fldChar w:fldCharType="separate"/>
      </w:r>
      <w:r>
        <w:rPr>
          <w:rFonts w:ascii="Times New Roman" w:hAnsi="Times New Roman" w:cs="Times New Roman"/>
          <w:kern w:val="0"/>
          <w:sz w:val="24"/>
        </w:rPr>
        <w:t>Pharmacological</w:t>
      </w:r>
      <w:r>
        <w:rPr>
          <w:rFonts w:ascii="Times New Roman" w:hAnsi="Times New Roman" w:cs="Times New Roman"/>
          <w:kern w:val="0"/>
          <w:sz w:val="24"/>
        </w:rPr>
        <w:fldChar w:fldCharType="end"/>
      </w:r>
      <w:r>
        <w:rPr>
          <w:rFonts w:ascii="Times New Roman" w:hAnsi="Times New Roman" w:cs="Times New Roman"/>
          <w:kern w:val="0"/>
          <w:sz w:val="24"/>
        </w:rPr>
        <w:t xml:space="preserve"> </w:t>
      </w:r>
      <w:r>
        <w:fldChar w:fldCharType="begin"/>
      </w:r>
      <w:r>
        <w:instrText xml:space="preserve"> HYPERLINK "https://cn.bing.com/dict/search?q=Interventions&amp;FORM=BDVSP6&amp;mkt=zh-cn" </w:instrText>
      </w:r>
      <w:r>
        <w:fldChar w:fldCharType="separate"/>
      </w:r>
      <w:r>
        <w:rPr>
          <w:rFonts w:ascii="Times New Roman" w:hAnsi="Times New Roman" w:cs="Times New Roman"/>
          <w:kern w:val="0"/>
          <w:sz w:val="24"/>
        </w:rPr>
        <w:t>interventions</w:t>
      </w:r>
      <w:r>
        <w:rPr>
          <w:rFonts w:ascii="Times New Roman" w:hAnsi="Times New Roman" w:cs="Times New Roman"/>
          <w:kern w:val="0"/>
          <w:sz w:val="24"/>
        </w:rPr>
        <w:fldChar w:fldCharType="end"/>
      </w:r>
      <w:r>
        <w:rPr>
          <w:rFonts w:ascii="Times New Roman" w:hAnsi="Times New Roman" w:cs="Times New Roman"/>
          <w:kern w:val="0"/>
          <w:sz w:val="24"/>
        </w:rPr>
        <w:t xml:space="preserve">: Control and fibrotic mice were </w:t>
      </w:r>
      <w:r>
        <w:rPr>
          <w:rFonts w:ascii="Times New Roman" w:hAnsi="Times New Roman" w:eastAsia="宋体" w:cs="Times New Roman"/>
          <w:kern w:val="0"/>
          <w:sz w:val="24"/>
        </w:rPr>
        <w:t>intragastrically administered a</w:t>
      </w:r>
      <w:r>
        <w:rPr>
          <w:rFonts w:ascii="Times New Roman" w:hAnsi="Times New Roman" w:cs="Times New Roman"/>
          <w:kern w:val="0"/>
          <w:sz w:val="24"/>
        </w:rPr>
        <w:t xml:space="preserve"> special inhibitor targeting </w:t>
      </w:r>
      <w:r>
        <w:rPr>
          <w:rFonts w:hint="eastAsia" w:ascii="Times New Roman" w:hAnsi="Times New Roman" w:cs="Times New Roman"/>
          <w:kern w:val="0"/>
          <w:sz w:val="24"/>
          <w:lang w:val="en-US"/>
        </w:rPr>
        <w:t>GAL3</w:t>
      </w:r>
      <w:r>
        <w:rPr>
          <w:rFonts w:ascii="Times New Roman" w:hAnsi="Times New Roman" w:cs="Times New Roman"/>
          <w:kern w:val="0"/>
          <w:sz w:val="24"/>
        </w:rPr>
        <w:t>, namely, GB1107 (10 mg/k</w:t>
      </w:r>
      <w:r>
        <w:rPr>
          <w:rFonts w:ascii="Times New Roman" w:hAnsi="Times New Roman" w:eastAsia="宋体" w:cs="Times New Roman"/>
          <w:kern w:val="0"/>
          <w:sz w:val="24"/>
        </w:rPr>
        <w:t>g</w:t>
      </w:r>
      <w:r>
        <w:rPr>
          <w:rFonts w:hint="default" w:ascii="Times New Roman" w:hAnsi="Times New Roman" w:eastAsia="宋体" w:cs="Times New Roman"/>
          <w:kern w:val="0"/>
          <w:sz w:val="24"/>
          <w:lang w:val="en-US" w:eastAsia="zh-CN"/>
        </w:rPr>
        <w:t xml:space="preserve">, </w:t>
      </w:r>
      <w:r>
        <w:rPr>
          <w:rFonts w:ascii="Times New Roman" w:hAnsi="Times New Roman" w:eastAsia="宋体" w:cs="Times New Roman"/>
          <w:i w:val="0"/>
          <w:iCs w:val="0"/>
          <w:caps w:val="0"/>
          <w:spacing w:val="0"/>
          <w:kern w:val="0"/>
          <w:sz w:val="24"/>
          <w:szCs w:val="24"/>
          <w:shd w:val="clear"/>
        </w:rPr>
        <w:t>MedChemExpress</w:t>
      </w:r>
      <w:r>
        <w:rPr>
          <w:rFonts w:ascii="Times New Roman" w:hAnsi="Times New Roman" w:eastAsia="宋体" w:cs="Times New Roman"/>
          <w:kern w:val="0"/>
          <w:sz w:val="24"/>
        </w:rPr>
        <w:t>)</w:t>
      </w:r>
      <w:r>
        <w:rPr>
          <w:rFonts w:hint="default" w:ascii="Times New Roman" w:hAnsi="Times New Roman" w:eastAsia="宋体" w:cs="Times New Roman"/>
          <w:kern w:val="0"/>
          <w:sz w:val="24"/>
          <w:lang w:val="en-US"/>
        </w:rPr>
        <w:t xml:space="preserve"> o</w:t>
      </w:r>
      <w:r>
        <w:rPr>
          <w:rFonts w:hint="eastAsia" w:ascii="Times New Roman" w:hAnsi="Times New Roman" w:cs="Times New Roman"/>
          <w:kern w:val="0"/>
          <w:sz w:val="24"/>
          <w:lang w:val="en-US"/>
        </w:rPr>
        <w:t xml:space="preserve">r recombinant GAL3 (6 </w:t>
      </w:r>
      <w:r>
        <w:rPr>
          <w:rFonts w:ascii="Times New Roman" w:hAnsi="Times New Roman" w:cs="Times New Roman"/>
          <w:kern w:val="0"/>
          <w:sz w:val="24"/>
        </w:rPr>
        <w:t>μ</w:t>
      </w:r>
      <w:r>
        <w:rPr>
          <w:rFonts w:hint="eastAsia" w:ascii="Times New Roman" w:hAnsi="Times New Roman" w:cs="Times New Roman"/>
          <w:kern w:val="0"/>
          <w:sz w:val="24"/>
          <w:lang w:val="en-US"/>
        </w:rPr>
        <w:t>g/mouse</w:t>
      </w:r>
      <w:r>
        <w:rPr>
          <w:rFonts w:hint="eastAsia" w:ascii="Times New Roman" w:hAnsi="Times New Roman" w:cs="Times New Roman"/>
          <w:kern w:val="0"/>
          <w:sz w:val="24"/>
          <w:lang w:val="en-US" w:eastAsia="zh-CN"/>
        </w:rPr>
        <w:t>, R&amp;D</w:t>
      </w:r>
      <w:r>
        <w:rPr>
          <w:rFonts w:hint="eastAsia" w:ascii="Times New Roman" w:hAnsi="Times New Roman" w:cs="Times New Roman"/>
          <w:kern w:val="0"/>
          <w:sz w:val="24"/>
          <w:lang w:val="en-US"/>
        </w:rPr>
        <w:t>) by tail vein injection</w:t>
      </w:r>
      <w:r>
        <w:rPr>
          <w:rFonts w:ascii="Times New Roman" w:hAnsi="Times New Roman" w:cs="Times New Roman"/>
          <w:kern w:val="0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(4) </w:t>
      </w:r>
      <w:r>
        <w:rPr>
          <w:rFonts w:ascii="Times New Roman" w:hAnsi="Times New Roman" w:cs="Times New Roman"/>
          <w:kern w:val="0"/>
          <w:sz w:val="24"/>
        </w:rPr>
        <w:t xml:space="preserve">Acute insult: Mice were challenged </w:t>
      </w:r>
      <w:r>
        <w:rPr>
          <w:rFonts w:ascii="Times New Roman" w:hAnsi="Times New Roman" w:cs="Times New Roman"/>
          <w:sz w:val="24"/>
        </w:rPr>
        <w:t xml:space="preserve">intraperitoneally </w:t>
      </w:r>
      <w:r>
        <w:rPr>
          <w:rFonts w:ascii="Times New Roman" w:hAnsi="Times New Roman" w:cs="Times New Roman"/>
          <w:kern w:val="0"/>
          <w:sz w:val="24"/>
        </w:rPr>
        <w:t xml:space="preserve">with </w:t>
      </w:r>
      <w:r>
        <w:rPr>
          <w:rFonts w:ascii="Times New Roman" w:hAnsi="Times New Roman"/>
          <w:kern w:val="0"/>
          <w:sz w:val="24"/>
        </w:rPr>
        <w:t>D-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>galactosamine (</w:t>
      </w:r>
      <w:r>
        <w:rPr>
          <w:rFonts w:ascii="Times New Roman" w:hAnsi="Times New Roman" w:cs="Times New Roman"/>
          <w:bCs/>
          <w:sz w:val="24"/>
        </w:rPr>
        <w:t>D-GalN</w:t>
      </w:r>
      <w:r>
        <w:rPr>
          <w:rFonts w:ascii="Times New Roman" w:hAnsi="Times New Roman"/>
          <w:sz w:val="24"/>
        </w:rPr>
        <w:t xml:space="preserve">, 500 μg/g, Sigma) plus </w:t>
      </w:r>
      <w:r>
        <w:rPr>
          <w:rStyle w:val="11"/>
          <w:rFonts w:ascii="Times New Roman" w:hAnsi="Times New Roman" w:eastAsia="宋体" w:cs="Times New Roman"/>
          <w:sz w:val="24"/>
          <w:szCs w:val="24"/>
        </w:rPr>
        <w:t>lipopolysaccharide (</w:t>
      </w:r>
      <w:r>
        <w:rPr>
          <w:rFonts w:ascii="Times New Roman" w:hAnsi="Times New Roman"/>
          <w:sz w:val="24"/>
        </w:rPr>
        <w:t xml:space="preserve">LPS, 10 ng/g, </w:t>
      </w:r>
      <w:r>
        <w:rPr>
          <w:rFonts w:ascii="Times New Roman" w:hAnsi="Times New Roman" w:eastAsia="宋体" w:cs="Times New Roman"/>
          <w:sz w:val="24"/>
        </w:rPr>
        <w:t>Invi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vo</w:t>
      </w:r>
      <w:r>
        <w:rPr>
          <w:rFonts w:ascii="Times New Roman" w:hAnsi="Times New Roman" w:eastAsia="宋体" w:cs="Times New Roman"/>
          <w:sz w:val="24"/>
        </w:rPr>
        <w:t>gen</w:t>
      </w:r>
      <w:r>
        <w:rPr>
          <w:rFonts w:ascii="Times New Roman" w:hAnsi="Times New Roman"/>
          <w:sz w:val="24"/>
        </w:rPr>
        <w:t>).</w:t>
      </w:r>
      <w:r>
        <w:rPr>
          <w:rFonts w:ascii="Times New Roman" w:hAnsi="Times New Roman"/>
          <w:kern w:val="0"/>
          <w:sz w:val="24"/>
        </w:rPr>
        <w:t xml:space="preserve"> Sera and liver tissues were harvested 24 hours after acute challenge for analysis.</w:t>
      </w:r>
    </w:p>
    <w:p>
      <w:pPr>
        <w:autoSpaceDE w:val="0"/>
        <w:autoSpaceDN w:val="0"/>
        <w:adjustRightInd w:val="0"/>
        <w:spacing w:before="156" w:beforeLines="50" w:line="480" w:lineRule="auto"/>
        <w:rPr>
          <w:rFonts w:ascii="Times New Roman" w:hAnsi="Times New Roman"/>
          <w:b/>
          <w:iCs/>
          <w:kern w:val="0"/>
          <w:sz w:val="24"/>
        </w:rPr>
      </w:pPr>
      <w:r>
        <w:rPr>
          <w:rFonts w:ascii="Times New Roman" w:hAnsi="Times New Roman"/>
          <w:b/>
          <w:iCs/>
          <w:kern w:val="0"/>
          <w:sz w:val="24"/>
        </w:rPr>
        <w:t>Evaluation of liver injury</w:t>
      </w:r>
    </w:p>
    <w:p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kern w:val="0"/>
          <w:sz w:val="24"/>
        </w:rPr>
        <w:t xml:space="preserve">The levels of alanine aminotransferase (ALT) and aspartate aminotransferase (AST) in serum </w:t>
      </w:r>
      <w:r>
        <w:rPr>
          <w:rFonts w:ascii="Times New Roman" w:hAnsi="Times New Roman"/>
          <w:sz w:val="24"/>
        </w:rPr>
        <w:t xml:space="preserve">were measured using an automatic chemical </w:t>
      </w:r>
      <w:r>
        <w:rPr>
          <w:rFonts w:ascii="Times New Roman" w:hAnsi="Times New Roman" w:eastAsia="宋体" w:cs="Times New Roman"/>
          <w:sz w:val="24"/>
        </w:rPr>
        <w:t>analyser</w:t>
      </w:r>
      <w:r>
        <w:rPr>
          <w:rFonts w:ascii="Times New Roman" w:hAnsi="Times New Roman"/>
          <w:sz w:val="24"/>
        </w:rPr>
        <w:t xml:space="preserve"> (Hitachi 7600, Japan) according to an automated procedure.</w:t>
      </w:r>
    </w:p>
    <w:p>
      <w:pPr>
        <w:autoSpaceDE w:val="0"/>
        <w:autoSpaceDN w:val="0"/>
        <w:adjustRightInd w:val="0"/>
        <w:spacing w:after="249" w:afterLines="80"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t xml:space="preserve">Formalin-fixed and paraffin-embedded liver tissues were sectioned (3 </w:t>
      </w:r>
      <w:r>
        <w:rPr>
          <w:rFonts w:ascii="Times New Roman" w:hAnsi="Times New Roman" w:cs="Times New Roman"/>
          <w:sz w:val="24"/>
        </w:rPr>
        <w:t>μm)</w:t>
      </w:r>
      <w:r>
        <w:rPr>
          <w:rFonts w:ascii="Times New Roman" w:hAnsi="Times New Roman"/>
          <w:kern w:val="0"/>
          <w:sz w:val="24"/>
        </w:rPr>
        <w:t xml:space="preserve"> and stained with haematoxylin-eosin (H&amp;E) according to</w:t>
      </w:r>
      <w:r>
        <w:rPr>
          <w:rFonts w:ascii="Times New Roman" w:hAnsi="Times New Roman" w:eastAsia="宋体" w:cs="Times New Roman"/>
          <w:kern w:val="0"/>
          <w:sz w:val="24"/>
        </w:rPr>
        <w:t xml:space="preserve"> a</w:t>
      </w:r>
      <w:r>
        <w:rPr>
          <w:rFonts w:ascii="Times New Roman" w:hAnsi="Times New Roman"/>
          <w:kern w:val="0"/>
          <w:sz w:val="24"/>
        </w:rPr>
        <w:t xml:space="preserve"> standard protocol. Histological images were captured using an Olympus Bx51 microscope (Olympus America, Melville, NY, USA) and processed with cellSens imaging software (version 1.4.1). </w:t>
      </w:r>
      <w:r>
        <w:rPr>
          <w:rFonts w:ascii="Times New Roman" w:hAnsi="Times New Roman" w:eastAsia="宋体" w:cs="Times New Roman"/>
          <w:kern w:val="0"/>
          <w:sz w:val="24"/>
        </w:rPr>
        <w:t>The histological</w:t>
      </w:r>
      <w:r>
        <w:rPr>
          <w:rFonts w:ascii="Times New Roman" w:hAnsi="Times New Roman"/>
          <w:kern w:val="0"/>
          <w:sz w:val="24"/>
        </w:rPr>
        <w:t xml:space="preserve"> severity of hepatic damage was assessed and scored blindly by experienced pathologists </w:t>
      </w:r>
      <w:r>
        <w:rPr>
          <w:rFonts w:ascii="Times New Roman" w:hAnsi="Times New Roman"/>
          <w:kern w:val="0"/>
          <w:sz w:val="24"/>
        </w:rPr>
        <w:fldChar w:fldCharType="begin">
          <w:fldData xml:space="preserve">PEVuZE5vdGU+PENpdGU+PEF1dGhvcj5XYW5nPC9BdXRob3I+PFllYXI+MjAxNjwvWWVhcj48UmVj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</w:fldData>
        </w:fldChar>
      </w:r>
      <w:r>
        <w:rPr>
          <w:rFonts w:ascii="Times New Roman" w:hAnsi="Times New Roman"/>
          <w:kern w:val="0"/>
          <w:sz w:val="24"/>
        </w:rPr>
        <w:instrText xml:space="preserve"> ADDIN EN.CITE </w:instrText>
      </w:r>
      <w:r>
        <w:rPr>
          <w:rFonts w:ascii="Times New Roman" w:hAnsi="Times New Roman"/>
          <w:kern w:val="0"/>
          <w:sz w:val="24"/>
        </w:rPr>
        <w:fldChar w:fldCharType="begin">
          <w:fldData xml:space="preserve">PEVuZE5vdGU+PENpdGU+PEF1dGhvcj5XYW5nPC9BdXRob3I+PFllYXI+MjAxNjwvWWVhcj48UmVj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</w:fldData>
        </w:fldChar>
      </w:r>
      <w:r>
        <w:rPr>
          <w:rFonts w:ascii="Times New Roman" w:hAnsi="Times New Roman"/>
          <w:kern w:val="0"/>
          <w:sz w:val="24"/>
        </w:rPr>
        <w:instrText xml:space="preserve"> ADDIN EN.CITE.DATA </w:instrText>
      </w:r>
      <w:r>
        <w:rPr>
          <w:rFonts w:ascii="Times New Roman" w:hAnsi="Times New Roman"/>
          <w:kern w:val="0"/>
          <w:sz w:val="24"/>
        </w:rPr>
        <w:fldChar w:fldCharType="end"/>
      </w:r>
      <w:r>
        <w:rPr>
          <w:rFonts w:ascii="Times New Roman" w:hAnsi="Times New Roman"/>
          <w:kern w:val="0"/>
          <w:sz w:val="24"/>
        </w:rPr>
        <w:fldChar w:fldCharType="separate"/>
      </w:r>
      <w:r>
        <w:rPr>
          <w:rFonts w:ascii="Times New Roman" w:hAnsi="Times New Roman"/>
          <w:kern w:val="0"/>
          <w:sz w:val="24"/>
        </w:rPr>
        <w:t>[1]</w:t>
      </w:r>
      <w:r>
        <w:rPr>
          <w:rFonts w:ascii="Times New Roman" w:hAnsi="Times New Roman"/>
          <w:kern w:val="0"/>
          <w:sz w:val="24"/>
        </w:rPr>
        <w:fldChar w:fldCharType="end"/>
      </w:r>
      <w:r>
        <w:rPr>
          <w:rFonts w:ascii="Times New Roman" w:hAnsi="Times New Roman"/>
          <w:kern w:val="0"/>
          <w:sz w:val="24"/>
        </w:rPr>
        <w:t>.</w:t>
      </w:r>
    </w:p>
    <w:p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iCs/>
          <w:kern w:val="0"/>
          <w:sz w:val="24"/>
        </w:rPr>
      </w:pPr>
      <w:r>
        <w:rPr>
          <w:rFonts w:ascii="Times New Roman" w:hAnsi="Times New Roman"/>
          <w:b/>
          <w:iCs/>
          <w:kern w:val="0"/>
          <w:sz w:val="24"/>
        </w:rPr>
        <w:t>Reverse transcription and SYBR Green quantitative polymerase chain reaction (qPCR)</w:t>
      </w:r>
    </w:p>
    <w:p>
      <w:pPr>
        <w:spacing w:line="480" w:lineRule="auto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Total RNA from liver tissues and cultured cells was extracted using TRIzol reagent (Thermo Fisher Scientific, Waltham, MA, USA) following the manufacturer’s </w:t>
      </w:r>
      <w:r>
        <w:rPr>
          <w:rFonts w:ascii="Times New Roman" w:hAnsi="Times New Roman" w:eastAsia="宋体" w:cs="Times New Roman"/>
          <w:kern w:val="0"/>
          <w:sz w:val="24"/>
        </w:rPr>
        <w:t>instructions</w:t>
      </w:r>
      <w:r>
        <w:rPr>
          <w:rFonts w:ascii="Times New Roman" w:hAnsi="Times New Roman" w:cs="Times New Roman"/>
          <w:kern w:val="0"/>
          <w:sz w:val="24"/>
        </w:rPr>
        <w:t>. Then</w:t>
      </w:r>
      <w:r>
        <w:rPr>
          <w:rFonts w:ascii="Times New Roman" w:hAnsi="Times New Roman" w:eastAsia="宋体" w:cs="Times New Roman"/>
          <w:kern w:val="0"/>
          <w:sz w:val="24"/>
        </w:rPr>
        <w:t>,</w:t>
      </w:r>
      <w:r>
        <w:rPr>
          <w:rFonts w:ascii="Times New Roman" w:hAnsi="Times New Roman" w:cs="Times New Roman"/>
          <w:kern w:val="0"/>
          <w:sz w:val="24"/>
        </w:rPr>
        <w:t xml:space="preserve"> 1 μg RNA was reverse</w:t>
      </w:r>
      <w:r>
        <w:rPr>
          <w:rFonts w:ascii="Times New Roman" w:hAnsi="Times New Roman" w:eastAsia="宋体" w:cs="Times New Roman"/>
          <w:kern w:val="0"/>
          <w:sz w:val="24"/>
        </w:rPr>
        <w:t xml:space="preserve"> transcribed</w:t>
      </w:r>
      <w:r>
        <w:rPr>
          <w:rFonts w:ascii="Times New Roman" w:hAnsi="Times New Roman" w:cs="Times New Roman"/>
          <w:kern w:val="0"/>
          <w:sz w:val="24"/>
        </w:rPr>
        <w:t xml:space="preserve"> into cDNA using </w:t>
      </w:r>
      <w:r>
        <w:rPr>
          <w:rFonts w:ascii="Times New Roman" w:hAnsi="Times New Roman" w:eastAsia="宋体" w:cs="Times New Roman"/>
          <w:kern w:val="0"/>
          <w:sz w:val="24"/>
        </w:rPr>
        <w:t xml:space="preserve">the </w:t>
      </w:r>
      <w:r>
        <w:rPr>
          <w:rFonts w:ascii="Times New Roman" w:hAnsi="Times New Roman" w:cs="Times New Roman"/>
          <w:kern w:val="0"/>
          <w:sz w:val="24"/>
        </w:rPr>
        <w:t>AMV retrotranscriptase system (</w:t>
      </w:r>
      <w:r>
        <w:rPr>
          <w:rFonts w:ascii="Times New Roman" w:hAnsi="Times New Roman" w:eastAsia="宋体" w:cs="Times New Roman"/>
          <w:kern w:val="0"/>
          <w:sz w:val="24"/>
        </w:rPr>
        <w:t>TaKaRa</w:t>
      </w:r>
      <w:r>
        <w:rPr>
          <w:rFonts w:ascii="Times New Roman" w:hAnsi="Times New Roman" w:cs="Times New Roman"/>
          <w:kern w:val="0"/>
          <w:sz w:val="24"/>
        </w:rPr>
        <w:t xml:space="preserve">, Dalian, Liaoning, China). qPCR amplifications were run in triplicate on an </w:t>
      </w:r>
      <w:r>
        <w:rPr>
          <w:rFonts w:ascii="Times New Roman" w:hAnsi="Times New Roman"/>
          <w:kern w:val="0"/>
          <w:sz w:val="24"/>
        </w:rPr>
        <w:t>ABI StepOne Plus System (Thermo Fisher Scientific) using SYBR Green reaction mix (</w:t>
      </w:r>
      <w:r>
        <w:rPr>
          <w:rFonts w:ascii="Times New Roman" w:hAnsi="Times New Roman" w:eastAsia="宋体" w:cs="Times New Roman"/>
          <w:kern w:val="0"/>
          <w:sz w:val="24"/>
        </w:rPr>
        <w:t>TaKaRa</w:t>
      </w:r>
      <w:r>
        <w:rPr>
          <w:rFonts w:ascii="Times New Roman" w:hAnsi="Times New Roman"/>
          <w:kern w:val="0"/>
          <w:sz w:val="24"/>
        </w:rPr>
        <w:t xml:space="preserve">). In a 20 μl reaction volume, the </w:t>
      </w:r>
      <w:r>
        <w:rPr>
          <w:rFonts w:ascii="Times New Roman" w:hAnsi="Times New Roman" w:eastAsia="宋体" w:cs="Times New Roman"/>
          <w:kern w:val="0"/>
          <w:sz w:val="24"/>
        </w:rPr>
        <w:t>following reagents</w:t>
      </w:r>
      <w:r>
        <w:rPr>
          <w:rFonts w:ascii="Times New Roman" w:hAnsi="Times New Roman"/>
          <w:kern w:val="0"/>
          <w:sz w:val="24"/>
        </w:rPr>
        <w:t xml:space="preserve"> were added: 1× SYBR Green PCR master mix, template cDNA, 0.5 mM each primer, and ROX. </w:t>
      </w:r>
      <w:r>
        <w:rPr>
          <w:rFonts w:ascii="Times New Roman" w:hAnsi="Times New Roman" w:eastAsia="宋体" w:cs="Times New Roman"/>
          <w:kern w:val="0"/>
          <w:sz w:val="24"/>
        </w:rPr>
        <w:t>The thermal</w:t>
      </w:r>
      <w:r>
        <w:rPr>
          <w:rFonts w:ascii="Times New Roman" w:hAnsi="Times New Roman"/>
          <w:kern w:val="0"/>
          <w:sz w:val="24"/>
        </w:rPr>
        <w:t xml:space="preserve"> cycling protocol was 95 °C for 10 min, followed by 40 cycles of 95 °C for 15 s and 60 °C for 1 min. The primers used in this work were designed by Primer 3 (Version 0.4.0) and </w:t>
      </w:r>
      <w:r>
        <w:rPr>
          <w:rFonts w:ascii="Times New Roman" w:hAnsi="Times New Roman" w:eastAsia="宋体" w:cs="Times New Roman"/>
          <w:kern w:val="0"/>
          <w:sz w:val="24"/>
        </w:rPr>
        <w:t xml:space="preserve">are </w:t>
      </w:r>
      <w:r>
        <w:rPr>
          <w:rFonts w:ascii="Times New Roman" w:hAnsi="Times New Roman"/>
          <w:kern w:val="0"/>
          <w:sz w:val="24"/>
        </w:rPr>
        <w:t xml:space="preserve">listed in Supplementary Table 1. </w:t>
      </w:r>
      <w:r>
        <w:rPr>
          <w:rFonts w:ascii="Times New Roman" w:hAnsi="Times New Roman" w:eastAsia="宋体" w:cs="Times New Roman"/>
          <w:kern w:val="0"/>
          <w:sz w:val="24"/>
        </w:rPr>
        <w:t>The relative</w:t>
      </w:r>
      <w:r>
        <w:rPr>
          <w:rFonts w:ascii="Times New Roman" w:hAnsi="Times New Roman" w:cs="Times New Roman"/>
          <w:kern w:val="0"/>
          <w:sz w:val="24"/>
        </w:rPr>
        <w:t xml:space="preserve"> expression of </w:t>
      </w:r>
      <w:r>
        <w:rPr>
          <w:rFonts w:ascii="Times New Roman" w:hAnsi="Times New Roman" w:eastAsia="宋体" w:cs="Times New Roman"/>
          <w:kern w:val="0"/>
          <w:sz w:val="24"/>
        </w:rPr>
        <w:t xml:space="preserve">the </w:t>
      </w:r>
      <w:r>
        <w:rPr>
          <w:rFonts w:ascii="Times New Roman" w:hAnsi="Times New Roman" w:cs="Times New Roman"/>
          <w:kern w:val="0"/>
          <w:sz w:val="24"/>
        </w:rPr>
        <w:t xml:space="preserve">target gene was calculated and normalized to the expression of </w:t>
      </w:r>
      <w:r>
        <w:rPr>
          <w:rFonts w:ascii="Times New Roman" w:hAnsi="Times New Roman" w:eastAsia="宋体" w:cs="Times New Roman"/>
          <w:kern w:val="0"/>
          <w:sz w:val="24"/>
        </w:rPr>
        <w:t xml:space="preserve">the </w:t>
      </w:r>
      <w:r>
        <w:rPr>
          <w:rFonts w:ascii="Times New Roman" w:hAnsi="Times New Roman" w:cs="Times New Roman"/>
          <w:kern w:val="0"/>
          <w:sz w:val="24"/>
        </w:rPr>
        <w:t xml:space="preserve">reference gene </w:t>
      </w:r>
      <w:r>
        <w:rPr>
          <w:rFonts w:ascii="Times New Roman" w:hAnsi="Times New Roman" w:cs="Times New Roman"/>
          <w:i/>
          <w:iCs/>
          <w:kern w:val="0"/>
          <w:sz w:val="24"/>
        </w:rPr>
        <w:t>G</w:t>
      </w:r>
      <w:r>
        <w:rPr>
          <w:rFonts w:ascii="Times New Roman" w:hAnsi="Times New Roman" w:cs="Times New Roman"/>
          <w:i/>
          <w:iCs/>
          <w:kern w:val="0"/>
          <w:sz w:val="24"/>
          <w:lang w:val="en-US"/>
        </w:rPr>
        <w:t>apdh</w:t>
      </w:r>
      <w:r>
        <w:rPr>
          <w:rFonts w:ascii="Times New Roman" w:hAnsi="Times New Roman" w:cs="Times New Roman"/>
          <w:kern w:val="0"/>
          <w:sz w:val="24"/>
        </w:rPr>
        <w:t>.</w:t>
      </w:r>
    </w:p>
    <w:p>
      <w:pPr>
        <w:spacing w:line="480" w:lineRule="auto"/>
        <w:rPr>
          <w:rFonts w:ascii="Times New Roman" w:hAnsi="Times New Roman"/>
          <w:b/>
          <w:iCs/>
          <w:kern w:val="0"/>
          <w:sz w:val="24"/>
        </w:rPr>
      </w:pPr>
      <w:r>
        <w:rPr>
          <w:rFonts w:ascii="Times New Roman" w:hAnsi="Times New Roman"/>
          <w:b/>
          <w:iCs/>
          <w:kern w:val="0"/>
          <w:sz w:val="24"/>
        </w:rPr>
        <w:t>Immunofluorescence analysis</w:t>
      </w:r>
    </w:p>
    <w:p>
      <w:pPr>
        <w:spacing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t xml:space="preserve">Immunofluorescent staining was performed on frozen liver sections (5 μm), as previously described </w:t>
      </w:r>
      <w:r>
        <w:rPr>
          <w:rFonts w:ascii="Times New Roman" w:hAnsi="Times New Roman"/>
          <w:kern w:val="0"/>
          <w:sz w:val="24"/>
        </w:rPr>
        <w:fldChar w:fldCharType="begin"/>
      </w:r>
      <w:r>
        <w:rPr>
          <w:rFonts w:ascii="Times New Roman" w:hAnsi="Times New Roman"/>
          <w:kern w:val="0"/>
          <w:sz w:val="24"/>
        </w:rPr>
        <w:instrText xml:space="preserve"> ADDIN EN.CITE &lt;EndNote&gt;&lt;Cite&gt;&lt;Author&gt;Bai&lt;/Author&gt;&lt;Year&gt;2016&lt;/Year&gt;&lt;RecNum&gt;1770&lt;/RecNum&gt;&lt;DisplayText&gt;[2]&lt;/DisplayText&gt;&lt;record&gt;&lt;rec-number&gt;1770&lt;/rec-number&gt;&lt;foreign-keys&gt;&lt;key app="EN" db-id="ez9z2ptwaa09axe0ztk5svscfexpsst2ffa9"&gt;1770&lt;/key&gt;&lt;/foreign-keys&gt;&lt;ref-type name="Journal Article"&gt;17&lt;/ref-type&gt;&lt;contributors&gt;&lt;authors&gt;&lt;author&gt;Bai, L.&lt;/author&gt;&lt;author&gt;Kong, M.&lt;/author&gt;&lt;author&gt;Zheng, Q.&lt;/author&gt;&lt;author&gt;Zhang, X.&lt;/author&gt;&lt;author&gt;Liu, X.&lt;/author&gt;&lt;author&gt;Zu, K.&lt;/author&gt;&lt;author&gt;Chen, Y.&lt;/author&gt;&lt;author&gt;Zheng, S.&lt;/author&gt;&lt;author&gt;Li, J.&lt;/author&gt;&lt;author&gt;Ren, F.&lt;/author&gt;&lt;author&gt;Lou, J.&lt;/author&gt;&lt;author&gt;Liu, S.&lt;/author&gt;&lt;author&gt;Duan, Z.&lt;/author&gt;&lt;/authors&gt;&lt;/contributors&gt;&lt;auth-address&gt;Artificial Liver Center, Beijing YouAn Hospital, Capital Medical University, Beijing 100069, P.R. China.&amp;#xD;Clinical Laboratory Center, Beijing YouAn Hospital, Capital Medical University, Beijing 100069, P.R. China.&amp;#xD;Department of Pathology, Beijing YouAn Hospital, Capital Medical University, Beijing 100069, P.R. China.&amp;#xD;Research Department, Beijing Institute of Liver Diseases, Beijing 100069, P.R. China.&lt;/auth-address&gt;&lt;titles&gt;&lt;title&gt;Inhibition of the translocation and extracellular release of high-mobility group box 1 alleviates liver damage in fibrotic mice in response to D-galactosamine/lipopolysaccharide challenge&lt;/title&gt;&lt;secondary-title&gt;Mol Med Rep&lt;/secondary-title&gt;&lt;/titles&gt;&lt;pages&gt;3835-41&lt;/pages&gt;&lt;volume&gt;13&lt;/volume&gt;&lt;number&gt;5&lt;/number&gt;&lt;edition&gt;2016/04/02&lt;/edition&gt;&lt;dates&gt;&lt;year&gt;2016&lt;/year&gt;&lt;pub-dates&gt;&lt;date&gt;May&lt;/date&gt;&lt;/pub-dates&gt;&lt;/dates&gt;&lt;isbn&gt;1791-3004 (Electronic)&amp;#xD;1791-2997 (Linking)&lt;/isbn&gt;&lt;accession-num&gt;27035642&lt;/accession-num&gt;&lt;urls&gt;&lt;related-urls&gt;&lt;url&gt;http://www.ncbi.nlm.nih.gov/pubmed/27035642&lt;/url&gt;&lt;/related-urls&gt;&lt;/urls&gt;&lt;custom2&gt;4838152&lt;/custom2&gt;&lt;electronic-resource-num&gt;10.3892/mmr.2016.5003&lt;/electronic-resource-num&gt;&lt;language&gt;eng&lt;/language&gt;&lt;/record&gt;&lt;/Cite&gt;&lt;/EndNote&gt;</w:instrText>
      </w:r>
      <w:r>
        <w:rPr>
          <w:rFonts w:ascii="Times New Roman" w:hAnsi="Times New Roman"/>
          <w:kern w:val="0"/>
          <w:sz w:val="24"/>
        </w:rPr>
        <w:fldChar w:fldCharType="separate"/>
      </w:r>
      <w:r>
        <w:rPr>
          <w:rFonts w:ascii="Times New Roman" w:hAnsi="Times New Roman"/>
          <w:kern w:val="0"/>
          <w:sz w:val="24"/>
        </w:rPr>
        <w:t>[2]</w:t>
      </w:r>
      <w:r>
        <w:rPr>
          <w:rFonts w:ascii="Times New Roman" w:hAnsi="Times New Roman"/>
          <w:kern w:val="0"/>
          <w:sz w:val="24"/>
        </w:rPr>
        <w:fldChar w:fldCharType="end"/>
      </w:r>
      <w:r>
        <w:rPr>
          <w:rFonts w:ascii="Times New Roman" w:hAnsi="Times New Roman"/>
          <w:kern w:val="0"/>
          <w:sz w:val="24"/>
        </w:rPr>
        <w:t xml:space="preserve">. Liver sections were stained with the following primary antibodies: anti-mouse </w:t>
      </w:r>
      <w:r>
        <w:rPr>
          <w:rFonts w:hint="eastAsia" w:ascii="Times New Roman" w:hAnsi="Times New Roman"/>
          <w:kern w:val="0"/>
          <w:sz w:val="24"/>
          <w:lang w:val="en-US"/>
        </w:rPr>
        <w:t>GAL3</w:t>
      </w:r>
      <w:r>
        <w:rPr>
          <w:rFonts w:ascii="Times New Roman" w:hAnsi="Times New Roman"/>
          <w:kern w:val="0"/>
          <w:sz w:val="24"/>
        </w:rPr>
        <w:t xml:space="preserve"> (1:300; Abcam, Cambridge, MA, USA), FITC Mouse Anti-iNOS/NOS Type II (1:200; </w:t>
      </w:r>
      <w:bookmarkStart w:id="1" w:name="OLE_LINK1"/>
      <w:r>
        <w:rPr>
          <w:rFonts w:ascii="Times New Roman" w:hAnsi="Times New Roman"/>
          <w:kern w:val="0"/>
          <w:sz w:val="24"/>
        </w:rPr>
        <w:t>BD</w:t>
      </w:r>
      <w:bookmarkEnd w:id="1"/>
      <w:r>
        <w:rPr>
          <w:rFonts w:ascii="Times New Roman" w:hAnsi="Times New Roman"/>
          <w:kern w:val="0"/>
          <w:sz w:val="24"/>
        </w:rPr>
        <w:t xml:space="preserve"> Transduction Laboratories™, San Jose, CA, USA), PE anti-mouse CD206 (MMR) (1:200; BioLegend Inc., San Diego, CA, USA), and </w:t>
      </w:r>
      <w:r>
        <w:rPr>
          <w:rFonts w:ascii="Times New Roman" w:hAnsi="Times New Roman" w:eastAsia="宋体" w:cs="Times New Roman"/>
          <w:kern w:val="0"/>
          <w:sz w:val="24"/>
        </w:rPr>
        <w:t>anti</w:t>
      </w:r>
      <w:r>
        <w:rPr>
          <w:rFonts w:ascii="Times New Roman" w:hAnsi="Times New Roman"/>
          <w:kern w:val="0"/>
          <w:sz w:val="24"/>
        </w:rPr>
        <w:t xml:space="preserve">-actin, α-smooth muscle (1:300; Sigma, St Louis, MO, USA). For indirect immunofluorescent staining of </w:t>
      </w:r>
      <w:r>
        <w:rPr>
          <w:rFonts w:hint="eastAsia" w:ascii="Times New Roman" w:hAnsi="Times New Roman"/>
          <w:kern w:val="0"/>
          <w:sz w:val="24"/>
          <w:lang w:val="en-US"/>
        </w:rPr>
        <w:t>GAL3</w:t>
      </w:r>
      <w:r>
        <w:rPr>
          <w:rFonts w:ascii="Times New Roman" w:hAnsi="Times New Roman"/>
          <w:kern w:val="0"/>
          <w:sz w:val="24"/>
        </w:rPr>
        <w:t>, liver sections were incubated with PE- or FITC-conjugated donkey anti-rabbit IgG (1:500). The images were captured with</w:t>
      </w:r>
      <w:r>
        <w:rPr>
          <w:rFonts w:ascii="Times New Roman" w:hAnsi="Times New Roman" w:eastAsia="宋体" w:cs="Times New Roman"/>
          <w:kern w:val="0"/>
          <w:sz w:val="24"/>
        </w:rPr>
        <w:t xml:space="preserve"> a</w:t>
      </w:r>
      <w:r>
        <w:rPr>
          <w:rFonts w:ascii="Times New Roman" w:hAnsi="Times New Roman"/>
          <w:kern w:val="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Nikon ECLIPSE Ti </w:t>
      </w:r>
      <w:r>
        <w:rPr>
          <w:rFonts w:ascii="Times New Roman" w:hAnsi="Times New Roman" w:eastAsia="宋体" w:cs="Times New Roman"/>
          <w:sz w:val="24"/>
        </w:rPr>
        <w:t>inverted fluorescence microscope</w:t>
      </w:r>
      <w:r>
        <w:rPr>
          <w:rFonts w:ascii="Times New Roman" w:hAnsi="Times New Roman"/>
          <w:sz w:val="24"/>
        </w:rPr>
        <w:t xml:space="preserve"> and processed with NIS-Elements F 3.0 Software (Nikon Corporation, Tokyo, Japan)</w:t>
      </w:r>
      <w:r>
        <w:rPr>
          <w:rFonts w:ascii="Times New Roman" w:hAnsi="Times New Roman"/>
          <w:kern w:val="0"/>
          <w:sz w:val="24"/>
        </w:rPr>
        <w:t>.</w:t>
      </w:r>
    </w:p>
    <w:p>
      <w:pPr>
        <w:spacing w:line="480" w:lineRule="auto"/>
        <w:rPr>
          <w:rFonts w:ascii="Times New Roman" w:hAnsi="Times New Roman"/>
          <w:b/>
          <w:iCs/>
          <w:kern w:val="0"/>
          <w:sz w:val="24"/>
        </w:rPr>
      </w:pPr>
      <w:bookmarkStart w:id="2" w:name="OLE_LINK9"/>
      <w:r>
        <w:rPr>
          <w:rFonts w:ascii="Times New Roman" w:hAnsi="Times New Roman"/>
          <w:b/>
          <w:iCs/>
          <w:kern w:val="0"/>
          <w:sz w:val="24"/>
        </w:rPr>
        <w:t>Immunohistochemistry (IHC)</w:t>
      </w:r>
      <w:bookmarkEnd w:id="2"/>
      <w:r>
        <w:rPr>
          <w:rFonts w:ascii="Times New Roman" w:hAnsi="Times New Roman"/>
          <w:b/>
          <w:iCs/>
          <w:kern w:val="0"/>
          <w:sz w:val="24"/>
        </w:rPr>
        <w:t xml:space="preserve"> analysis</w:t>
      </w:r>
    </w:p>
    <w:p>
      <w:pPr>
        <w:spacing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hAnsi="Times New Roman"/>
          <w:kern w:val="0"/>
          <w:sz w:val="24"/>
        </w:rPr>
        <w:t>Liver sections were deparaffinized in xylene and rehydrated through descending grades of ethanol to deionized water. Then</w:t>
      </w:r>
      <w:r>
        <w:rPr>
          <w:rFonts w:ascii="Times New Roman" w:hAnsi="Times New Roman" w:eastAsia="宋体" w:cs="Times New Roman"/>
          <w:kern w:val="0"/>
          <w:sz w:val="24"/>
        </w:rPr>
        <w:t>,</w:t>
      </w:r>
      <w:r>
        <w:rPr>
          <w:rFonts w:ascii="Times New Roman" w:hAnsi="Times New Roman"/>
          <w:kern w:val="0"/>
          <w:sz w:val="24"/>
        </w:rPr>
        <w:t xml:space="preserve"> the slides were treated with 5% H</w:t>
      </w:r>
      <w:r>
        <w:rPr>
          <w:rFonts w:ascii="Times New Roman" w:hAnsi="Times New Roman"/>
          <w:kern w:val="0"/>
          <w:sz w:val="24"/>
          <w:vertAlign w:val="subscript"/>
        </w:rPr>
        <w:t>2</w:t>
      </w:r>
      <w:r>
        <w:rPr>
          <w:rFonts w:ascii="Times New Roman" w:hAnsi="Times New Roman"/>
          <w:kern w:val="0"/>
          <w:sz w:val="24"/>
        </w:rPr>
        <w:t>O</w:t>
      </w:r>
      <w:r>
        <w:rPr>
          <w:rFonts w:ascii="Times New Roman" w:hAnsi="Times New Roman"/>
          <w:kern w:val="0"/>
          <w:sz w:val="24"/>
          <w:vertAlign w:val="subscript"/>
        </w:rPr>
        <w:t xml:space="preserve">2 </w:t>
      </w:r>
      <w:r>
        <w:rPr>
          <w:rFonts w:ascii="Times New Roman" w:hAnsi="Times New Roman"/>
          <w:kern w:val="0"/>
          <w:sz w:val="24"/>
        </w:rPr>
        <w:t xml:space="preserve">for 15 min followed by antigen retrieval for 3 min in EDTA buffer using </w:t>
      </w:r>
      <w:r>
        <w:rPr>
          <w:rFonts w:ascii="Times New Roman" w:hAnsi="Times New Roman" w:eastAsia="宋体" w:cs="Times New Roman"/>
          <w:kern w:val="0"/>
          <w:sz w:val="24"/>
        </w:rPr>
        <w:t xml:space="preserve">a </w:t>
      </w:r>
      <w:r>
        <w:rPr>
          <w:rFonts w:ascii="Times New Roman" w:hAnsi="Times New Roman"/>
          <w:kern w:val="0"/>
          <w:sz w:val="24"/>
        </w:rPr>
        <w:t xml:space="preserve">pressure cooker. </w:t>
      </w:r>
      <w:r>
        <w:rPr>
          <w:rFonts w:ascii="Times New Roman" w:hAnsi="Times New Roman" w:eastAsia="宋体" w:cs="Times New Roman"/>
          <w:kern w:val="0"/>
          <w:sz w:val="24"/>
        </w:rPr>
        <w:t xml:space="preserve">Nonspecific </w:t>
      </w:r>
      <w:r>
        <w:rPr>
          <w:rFonts w:ascii="Times New Roman" w:hAnsi="Times New Roman"/>
          <w:kern w:val="0"/>
          <w:sz w:val="24"/>
        </w:rPr>
        <w:t>proteins were blocked with goat serum for 20 min at 37 °C. Then</w:t>
      </w:r>
      <w:r>
        <w:rPr>
          <w:rFonts w:ascii="Times New Roman" w:hAnsi="Times New Roman" w:eastAsia="宋体" w:cs="Times New Roman"/>
          <w:kern w:val="0"/>
          <w:sz w:val="24"/>
        </w:rPr>
        <w:t>,</w:t>
      </w:r>
      <w:r>
        <w:rPr>
          <w:rFonts w:ascii="Times New Roman" w:hAnsi="Times New Roman"/>
          <w:kern w:val="0"/>
          <w:sz w:val="24"/>
        </w:rPr>
        <w:t xml:space="preserve"> the sections were incubated with anti-G</w:t>
      </w:r>
      <w:r>
        <w:rPr>
          <w:rFonts w:hint="eastAsia" w:ascii="Times New Roman" w:hAnsi="Times New Roman"/>
          <w:kern w:val="0"/>
          <w:sz w:val="24"/>
          <w:lang w:val="en-US"/>
        </w:rPr>
        <w:t>AL</w:t>
      </w:r>
      <w:r>
        <w:rPr>
          <w:rFonts w:ascii="Times New Roman" w:hAnsi="Times New Roman"/>
          <w:kern w:val="0"/>
          <w:sz w:val="24"/>
        </w:rPr>
        <w:t>3 antibodies (1:50</w:t>
      </w:r>
      <w:r>
        <w:rPr>
          <w:rFonts w:hint="eastAsia" w:ascii="Times New Roman" w:hAnsi="Times New Roman"/>
          <w:kern w:val="0"/>
          <w:sz w:val="24"/>
          <w:lang w:val="en-US" w:eastAsia="zh-CN"/>
        </w:rPr>
        <w:t>, Abcam</w:t>
      </w:r>
      <w:r>
        <w:rPr>
          <w:rFonts w:ascii="Times New Roman" w:hAnsi="Times New Roman"/>
          <w:kern w:val="0"/>
          <w:sz w:val="24"/>
        </w:rPr>
        <w:t xml:space="preserve">) overnight at 4 °C. After washing three times with PBS, the sections were incubated with goat anti-rabbit secondary antibodies (Zhongshan Golden Bridge Biotechnology Co., Ltd., Beijing, China) for 20 min at 37 °C. After </w:t>
      </w:r>
      <w:r>
        <w:rPr>
          <w:rFonts w:ascii="Times New Roman" w:hAnsi="Times New Roman" w:eastAsia="宋体" w:cs="Times New Roman"/>
          <w:kern w:val="0"/>
          <w:sz w:val="24"/>
        </w:rPr>
        <w:t xml:space="preserve">washing with </w:t>
      </w:r>
      <w:r>
        <w:rPr>
          <w:rFonts w:ascii="Times New Roman" w:hAnsi="Times New Roman"/>
          <w:kern w:val="0"/>
          <w:sz w:val="24"/>
        </w:rPr>
        <w:t>PBS, the sections were incubated with horseradish</w:t>
      </w:r>
      <w:r>
        <w:rPr>
          <w:rFonts w:ascii="Times New Roman" w:hAnsi="Times New Roman" w:eastAsia="宋体" w:cs="Times New Roman"/>
          <w:kern w:val="0"/>
          <w:sz w:val="24"/>
        </w:rPr>
        <w:t xml:space="preserve"> </w:t>
      </w:r>
      <w:r>
        <w:rPr>
          <w:rFonts w:ascii="Times New Roman" w:hAnsi="Times New Roman"/>
          <w:kern w:val="0"/>
          <w:sz w:val="24"/>
        </w:rPr>
        <w:t xml:space="preserve">peroxidase-conjugated tertiary antibodies for 20 min at 37 °C. After that, the slides were incubated with diaminobenzidine and counterstained with haematoxylin, followed by dehydration and stabilization with mounting medium. </w:t>
      </w:r>
      <w:r>
        <w:rPr>
          <w:rFonts w:ascii="Times New Roman" w:hAnsi="Times New Roman" w:eastAsia="宋体" w:cs="Times New Roman"/>
          <w:kern w:val="0"/>
          <w:sz w:val="24"/>
        </w:rPr>
        <w:t>Images</w:t>
      </w:r>
      <w:r>
        <w:rPr>
          <w:rFonts w:ascii="Times New Roman" w:hAnsi="Times New Roman"/>
          <w:kern w:val="0"/>
          <w:sz w:val="24"/>
        </w:rPr>
        <w:t xml:space="preserve"> were captured using an Olympus Bx51 microscope and processed with cellSens standard software.</w:t>
      </w:r>
      <w:r>
        <w:rPr>
          <w:rFonts w:hint="eastAsia" w:ascii="Times New Roman" w:hAnsi="Times New Roman"/>
          <w:kern w:val="0"/>
          <w:sz w:val="24"/>
          <w:lang w:val="en-US"/>
        </w:rPr>
        <w:t xml:space="preserve"> The expression of target proteins was quantified by Image J software. </w:t>
      </w:r>
    </w:p>
    <w:p>
      <w:pPr>
        <w:spacing w:line="480" w:lineRule="auto"/>
        <w:rPr>
          <w:rFonts w:ascii="Times New Roman" w:hAnsi="Times New Roman"/>
          <w:b/>
          <w:bCs/>
          <w:kern w:val="0"/>
          <w:sz w:val="24"/>
        </w:rPr>
      </w:pPr>
      <w:r>
        <w:rPr>
          <w:rFonts w:ascii="Times New Roman" w:hAnsi="Times New Roman"/>
          <w:b/>
          <w:bCs/>
          <w:kern w:val="0"/>
          <w:sz w:val="24"/>
        </w:rPr>
        <w:t>Western blot analysis</w:t>
      </w:r>
    </w:p>
    <w:p>
      <w:pPr>
        <w:spacing w:line="480" w:lineRule="auto"/>
        <w:rPr>
          <w:rFonts w:ascii="Times New Roman" w:hAnsi="Times New Roman"/>
          <w:b/>
          <w:kern w:val="0"/>
          <w:sz w:val="24"/>
          <w:lang w:val="en-US"/>
        </w:rPr>
      </w:pPr>
      <w:r>
        <w:rPr>
          <w:rFonts w:ascii="Times New Roman" w:hAnsi="Times New Roman" w:eastAsia="宋体" w:cs="Times New Roman"/>
          <w:kern w:val="0"/>
          <w:sz w:val="24"/>
        </w:rPr>
        <w:t xml:space="preserve">Whole </w:t>
      </w:r>
      <w:r>
        <w:rPr>
          <w:rFonts w:ascii="Times New Roman" w:hAnsi="Times New Roman"/>
          <w:kern w:val="0"/>
          <w:sz w:val="24"/>
        </w:rPr>
        <w:t>proteins from frozen liver tissues or cells were extracted using RIPA lysis buffer supplemented with Halt™ protease inhibitor cocktail (</w:t>
      </w:r>
      <w:r>
        <w:rPr>
          <w:rFonts w:ascii="Times New Roman" w:hAnsi="Times New Roman" w:cs="Times New Roman"/>
          <w:kern w:val="0"/>
          <w:sz w:val="24"/>
        </w:rPr>
        <w:t>Thermo Fisher Scientific</w:t>
      </w:r>
      <w:r>
        <w:rPr>
          <w:rFonts w:ascii="Times New Roman" w:hAnsi="Times New Roman"/>
          <w:kern w:val="0"/>
          <w:sz w:val="24"/>
        </w:rPr>
        <w:t>). Samples were then subjected to 10% SDS–PAGE and transferred onto polyvinylidene difluoride (PVDF) membranes (</w:t>
      </w:r>
      <w:r>
        <w:rPr>
          <w:rFonts w:ascii="Times New Roman" w:hAnsi="Times New Roman" w:cs="Times New Roman"/>
          <w:kern w:val="0"/>
          <w:sz w:val="24"/>
        </w:rPr>
        <w:t>Thermo Fisher Scientific</w:t>
      </w:r>
      <w:r>
        <w:rPr>
          <w:rFonts w:ascii="Times New Roman" w:hAnsi="Times New Roman"/>
          <w:kern w:val="0"/>
          <w:sz w:val="24"/>
        </w:rPr>
        <w:t xml:space="preserve">). The membranes were blocked with 5% BSA for </w:t>
      </w:r>
      <w:r>
        <w:rPr>
          <w:rFonts w:ascii="Times New Roman" w:hAnsi="Times New Roman" w:eastAsia="宋体" w:cs="Times New Roman"/>
          <w:kern w:val="0"/>
          <w:sz w:val="24"/>
        </w:rPr>
        <w:t>1 h</w:t>
      </w:r>
      <w:r>
        <w:rPr>
          <w:rFonts w:ascii="Times New Roman" w:hAnsi="Times New Roman"/>
          <w:kern w:val="0"/>
          <w:sz w:val="24"/>
        </w:rPr>
        <w:t xml:space="preserve"> at room temperature and then probed with the following primary antibodies overnight at </w:t>
      </w:r>
      <w:r>
        <w:rPr>
          <w:rFonts w:ascii="Times New Roman" w:hAnsi="Times New Roman" w:eastAsia="宋体" w:cs="Times New Roman"/>
          <w:kern w:val="0"/>
          <w:sz w:val="24"/>
        </w:rPr>
        <w:t>4 °C</w:t>
      </w:r>
      <w:r>
        <w:rPr>
          <w:rFonts w:ascii="Times New Roman" w:hAnsi="Times New Roman"/>
          <w:kern w:val="0"/>
          <w:sz w:val="24"/>
        </w:rPr>
        <w:t>: RIP (D94C12) XP rabbit mAb (1:1000; Cell Signaling Technology), anti-MLKL antibody (1:1000, Abcam), phospho-MLKL (Ser345)(D6E3G) rabbit mAb (1:1000; CST), anti-NLRP3 antibody (1:1000; Abcam), ASC/TMS1 (D2 W8U) rabbit mAb (1:1000; CST), cleaved caspase-1 (Asp296) (E2G2I) rabbit mAb (1:1000; CST), gasdermin D (L60) (1:1000; CST), cleaved gasdermin D (Asp276) (E3E3P) rabbit mAb (1:1000; CST), an</w:t>
      </w:r>
      <w:r>
        <w:rPr>
          <w:rFonts w:ascii="Times New Roman" w:hAnsi="Times New Roman" w:cs="Times New Roman"/>
          <w:kern w:val="0"/>
          <w:sz w:val="24"/>
        </w:rPr>
        <w:t>d β-actin</w:t>
      </w:r>
      <w:r>
        <w:rPr>
          <w:rFonts w:ascii="Times New Roman" w:hAnsi="Times New Roman"/>
          <w:kern w:val="0"/>
          <w:sz w:val="24"/>
        </w:rPr>
        <w:t xml:space="preserve">. After washing, the membranes were incubated with </w:t>
      </w:r>
      <w:r>
        <w:rPr>
          <w:rFonts w:ascii="Times New Roman" w:hAnsi="Times New Roman"/>
          <w:sz w:val="24"/>
        </w:rPr>
        <w:t xml:space="preserve">HRP-conjugated anti-rabbit IgG for </w:t>
      </w:r>
      <w:r>
        <w:rPr>
          <w:rFonts w:ascii="Times New Roman" w:hAnsi="Times New Roman" w:eastAsia="宋体" w:cs="Times New Roman"/>
          <w:sz w:val="24"/>
        </w:rPr>
        <w:t>1 h</w:t>
      </w:r>
      <w:r>
        <w:rPr>
          <w:rFonts w:ascii="Times New Roman" w:hAnsi="Times New Roman"/>
          <w:sz w:val="24"/>
        </w:rPr>
        <w:t xml:space="preserve"> at room temperature. The protein bands were visualized by Luminol ECL reagent (</w:t>
      </w:r>
      <w:r>
        <w:rPr>
          <w:rFonts w:ascii="Times New Roman" w:hAnsi="Times New Roman" w:cs="Times New Roman"/>
          <w:kern w:val="0"/>
          <w:sz w:val="24"/>
        </w:rPr>
        <w:t>Thermo Fisher Scientific</w:t>
      </w:r>
      <w:r>
        <w:rPr>
          <w:rFonts w:ascii="Times New Roman" w:hAnsi="Times New Roman"/>
          <w:kern w:val="0"/>
          <w:sz w:val="24"/>
        </w:rPr>
        <w:t>).</w:t>
      </w:r>
      <w:r>
        <w:rPr>
          <w:rFonts w:hint="eastAsia" w:ascii="Times New Roman" w:hAnsi="Times New Roman"/>
          <w:kern w:val="0"/>
          <w:sz w:val="24"/>
          <w:lang w:val="en-US"/>
        </w:rPr>
        <w:t xml:space="preserve"> The expression of target proteins was normalized to that of </w:t>
      </w:r>
      <w:r>
        <w:rPr>
          <w:rFonts w:ascii="Times New Roman" w:hAnsi="Times New Roman" w:cs="Times New Roman"/>
          <w:kern w:val="0"/>
          <w:sz w:val="24"/>
          <w:lang w:val="en-US"/>
        </w:rPr>
        <w:t>β-a</w:t>
      </w:r>
      <w:r>
        <w:rPr>
          <w:rFonts w:hint="eastAsia" w:ascii="Times New Roman" w:hAnsi="Times New Roman"/>
          <w:kern w:val="0"/>
          <w:sz w:val="24"/>
          <w:lang w:val="en-US"/>
        </w:rPr>
        <w:t>ctin.</w:t>
      </w:r>
    </w:p>
    <w:p>
      <w:pPr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Statistical analysis</w:t>
      </w:r>
    </w:p>
    <w:p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The results are</w:t>
      </w:r>
      <w:r>
        <w:rPr>
          <w:rFonts w:ascii="Times New Roman" w:hAnsi="Times New Roman"/>
          <w:sz w:val="24"/>
        </w:rPr>
        <w:t xml:space="preserve"> expressed as </w:t>
      </w:r>
      <w:r>
        <w:rPr>
          <w:rFonts w:ascii="Times New Roman" w:hAnsi="Times New Roman" w:eastAsia="宋体" w:cs="Times New Roman"/>
          <w:sz w:val="24"/>
        </w:rPr>
        <w:t xml:space="preserve">the </w:t>
      </w:r>
      <w:r>
        <w:rPr>
          <w:rFonts w:ascii="Times New Roman" w:hAnsi="Times New Roman"/>
          <w:sz w:val="24"/>
        </w:rPr>
        <w:t>mean ± standard error of the mean</w:t>
      </w:r>
      <w:r>
        <w:rPr>
          <w:rFonts w:hint="eastAsia"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 xml:space="preserve">or median (Min, Max). Group comparisons were performed using Student’s </w:t>
      </w:r>
      <w:r>
        <w:rPr>
          <w:rFonts w:ascii="Times New Roman" w:hAnsi="Times New Roman"/>
          <w:i/>
          <w:sz w:val="24"/>
        </w:rPr>
        <w:t>t</w:t>
      </w:r>
      <w:r>
        <w:rPr>
          <w:rFonts w:ascii="Times New Roman" w:hAnsi="Times New Roman"/>
          <w:sz w:val="24"/>
        </w:rPr>
        <w:t xml:space="preserve"> test, the </w:t>
      </w:r>
      <w:bookmarkStart w:id="3" w:name="OLE_LINK7"/>
      <w:r>
        <w:rPr>
          <w:rFonts w:ascii="Times New Roman" w:hAnsi="Times New Roman"/>
          <w:sz w:val="24"/>
        </w:rPr>
        <w:t xml:space="preserve">Mann–Whitney </w:t>
      </w:r>
      <w:bookmarkEnd w:id="3"/>
      <w:r>
        <w:rPr>
          <w:rFonts w:ascii="Times New Roman" w:hAnsi="Times New Roman"/>
          <w:sz w:val="24"/>
        </w:rPr>
        <w:t xml:space="preserve">U test, </w:t>
      </w:r>
      <w:r>
        <w:rPr>
          <w:rFonts w:ascii="Times New Roman" w:hAnsi="Times New Roman" w:eastAsia="宋体" w:cs="Times New Roman"/>
          <w:sz w:val="24"/>
        </w:rPr>
        <w:t>and one</w:t>
      </w:r>
      <w:r>
        <w:rPr>
          <w:rFonts w:ascii="Times New Roman" w:hAnsi="Times New Roman"/>
          <w:sz w:val="24"/>
        </w:rPr>
        <w:t xml:space="preserve">-way ANOVA followed by </w:t>
      </w:r>
      <w:r>
        <w:rPr>
          <w:rFonts w:ascii="Times New Roman" w:hAnsi="Times New Roman" w:eastAsia="宋体" w:cs="Times New Roman"/>
          <w:sz w:val="24"/>
        </w:rPr>
        <w:t>Tukey’s</w:t>
      </w:r>
      <w:r>
        <w:rPr>
          <w:rFonts w:ascii="Times New Roman" w:hAnsi="Times New Roman"/>
          <w:sz w:val="24"/>
        </w:rPr>
        <w:t xml:space="preserve"> multiple comparison test, as appropriate. Survival analysis was conducted with </w:t>
      </w:r>
      <w:r>
        <w:rPr>
          <w:rFonts w:ascii="Times New Roman" w:hAnsi="Times New Roman" w:eastAsia="宋体" w:cs="Times New Roman"/>
          <w:sz w:val="24"/>
        </w:rPr>
        <w:t xml:space="preserve">the </w:t>
      </w:r>
      <w:r>
        <w:rPr>
          <w:rFonts w:ascii="Times New Roman" w:hAnsi="Times New Roman"/>
          <w:sz w:val="24"/>
        </w:rPr>
        <w:t>Kaplan–Meier method</w:t>
      </w:r>
      <w:r>
        <w:rPr>
          <w:rFonts w:ascii="Times New Roman" w:hAnsi="Times New Roman" w:eastAsia="宋体" w:cs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and</w:t>
      </w:r>
      <w:r>
        <w:rPr>
          <w:rFonts w:ascii="Times New Roman" w:hAnsi="Times New Roman" w:eastAsia="宋体" w:cs="Times New Roman"/>
          <w:sz w:val="24"/>
        </w:rPr>
        <w:t xml:space="preserve"> the log</w:t>
      </w:r>
      <w:r>
        <w:rPr>
          <w:rFonts w:ascii="Times New Roman" w:hAnsi="Times New Roman"/>
          <w:sz w:val="24"/>
        </w:rPr>
        <w:t xml:space="preserve">-rank test was used to compare the differences </w:t>
      </w:r>
      <w:r>
        <w:rPr>
          <w:rFonts w:ascii="Times New Roman" w:hAnsi="Times New Roman" w:eastAsia="宋体" w:cs="Times New Roman"/>
          <w:sz w:val="24"/>
        </w:rPr>
        <w:t>in</w:t>
      </w:r>
      <w:r>
        <w:rPr>
          <w:rFonts w:ascii="Times New Roman" w:hAnsi="Times New Roman"/>
          <w:sz w:val="24"/>
        </w:rPr>
        <w:t xml:space="preserve"> survival between treatment groups. Statistics and graphs were generated using Prism 6.0 software (GraphPad Software Inc., San Diego, CA, USA). </w:t>
      </w:r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>&lt;0.05 was considered statistically significant.</w:t>
      </w:r>
    </w:p>
    <w:p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</w:rPr>
      </w:pP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REFERENCES</w:t>
      </w:r>
    </w:p>
    <w:p>
      <w:pPr>
        <w:pStyle w:val="16"/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EN.REFLIST </w:instrText>
      </w:r>
      <w:r>
        <w:rPr>
          <w:rFonts w:ascii="Times New Roman" w:hAnsi="Times New Roman" w:cs="Times New Roman"/>
        </w:rPr>
        <w:fldChar w:fldCharType="separate"/>
      </w:r>
      <w:r>
        <w:t>1. Wang F, Xue Y, Yang J, Lin F, Sun Y, Li T, et al. Hepatoprotective effect of apple polyphenols against concanavalin A-induced immunological liver injury in mice. Chem Biol Interact. 2016;258:159-65.</w:t>
      </w:r>
    </w:p>
    <w:p>
      <w:pPr>
        <w:pStyle w:val="16"/>
      </w:pPr>
      <w:r>
        <w:t>2. Bai L, Kong M, Zheng Q, Zhang X, Liu X, Zu K, et al. Inhibition of the translocation and extracellular release of high-mobility group box 1 alleviates liver damage in fibrotic mice in response to D-galactosamine/lipopolysaccharide challenge. Mol Med Rep. 2016;13:3835-41.</w:t>
      </w:r>
    </w:p>
    <w:p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</w:rPr>
        <w:fldChar w:fldCharType="end"/>
      </w:r>
    </w:p>
    <w:p>
      <w:pPr>
        <w:spacing w:line="480" w:lineRule="auto"/>
      </w:pPr>
      <w:r>
        <w:br w:type="page"/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Table</w:t>
      </w:r>
    </w:p>
    <w:p>
      <w:pPr>
        <w:spacing w:line="360" w:lineRule="auto"/>
        <w:jc w:val="center"/>
        <w:rPr>
          <w:rStyle w:val="11"/>
          <w:rFonts w:ascii="Times New Roman" w:hAnsi="Times New Roman" w:eastAsia="宋体" w:cs="Times New Roman"/>
          <w:sz w:val="24"/>
          <w:szCs w:val="24"/>
        </w:rPr>
      </w:pPr>
      <w:r>
        <w:rPr>
          <w:rStyle w:val="11"/>
          <w:rFonts w:hint="eastAsia" w:ascii="Times New Roman" w:hAnsi="Times New Roman" w:eastAsia="宋体" w:cs="Times New Roman"/>
          <w:b/>
          <w:bCs/>
          <w:sz w:val="24"/>
          <w:szCs w:val="24"/>
        </w:rPr>
        <w:t>Supplementary Table 1.  The primers used in this work</w:t>
      </w:r>
    </w:p>
    <w:tbl>
      <w:tblPr>
        <w:tblStyle w:val="8"/>
        <w:tblpPr w:leftFromText="180" w:rightFromText="180" w:vertAnchor="text" w:horzAnchor="page" w:tblpX="329" w:tblpY="503"/>
        <w:tblOverlap w:val="never"/>
        <w:tblW w:w="10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1792"/>
        <w:gridCol w:w="1912"/>
        <w:gridCol w:w="1336"/>
        <w:gridCol w:w="1296"/>
        <w:gridCol w:w="1641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1792" w:type="dxa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b/>
                <w:bCs/>
                <w:sz w:val="20"/>
                <w:szCs w:val="20"/>
              </w:rPr>
              <w:t>Sense</w:t>
            </w:r>
          </w:p>
        </w:tc>
        <w:tc>
          <w:tcPr>
            <w:tcW w:w="1912" w:type="dxa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b/>
                <w:bCs/>
                <w:sz w:val="20"/>
                <w:szCs w:val="20"/>
              </w:rPr>
              <w:t>Anti-sense</w:t>
            </w:r>
          </w:p>
        </w:tc>
        <w:tc>
          <w:tcPr>
            <w:tcW w:w="1336" w:type="dxa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bidi="ar"/>
              </w:rPr>
              <w:t>A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bidi="ar"/>
              </w:rPr>
              <w:t xml:space="preserve">ccession </w:t>
            </w:r>
          </w:p>
        </w:tc>
        <w:tc>
          <w:tcPr>
            <w:tcW w:w="1296" w:type="dxa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bidi="ar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bidi="ar"/>
              </w:rPr>
              <w:t xml:space="preserve">ocations </w:t>
            </w:r>
          </w:p>
        </w:tc>
        <w:tc>
          <w:tcPr>
            <w:tcW w:w="1641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bidi="ar"/>
              </w:rPr>
              <w:t>C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bidi="ar"/>
              </w:rPr>
              <w:t>oncentrations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bidi="ar"/>
              </w:rPr>
              <w:t xml:space="preserve"> (Final)</w:t>
            </w:r>
          </w:p>
        </w:tc>
        <w:tc>
          <w:tcPr>
            <w:tcW w:w="1400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bidi="ar"/>
              </w:rPr>
              <w:t>Amplification Efficiency（%）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  <w:lang w:val="en-US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  <w:t>G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auto"/>
                <w:sz w:val="20"/>
                <w:szCs w:val="20"/>
                <w:lang w:val="en-US"/>
              </w:rPr>
              <w:t>apdh</w:t>
            </w:r>
          </w:p>
        </w:tc>
        <w:tc>
          <w:tcPr>
            <w:tcW w:w="1792" w:type="dxa"/>
            <w:vAlign w:val="center"/>
          </w:tcPr>
          <w:p>
            <w:pPr>
              <w:widowControl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>5’- aac ttt ggc att gtg gaa gg -3’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>5’- aca cat tgg ggg tag gaa ca 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Style w:val="11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NM_001289726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585-807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95.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  <w:lang w:val="en-US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auto"/>
                <w:sz w:val="20"/>
                <w:szCs w:val="20"/>
                <w:lang w:val="en-US"/>
              </w:rPr>
              <w:t>Lgals3</w:t>
            </w:r>
          </w:p>
        </w:tc>
        <w:tc>
          <w:tcPr>
            <w:tcW w:w="1792" w:type="dxa"/>
            <w:vAlign w:val="center"/>
          </w:tcPr>
          <w:p>
            <w:pPr>
              <w:widowControl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 xml:space="preserve">5’-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cag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tgc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tcc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tgg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agg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cta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tc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>-3’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 xml:space="preserve">5’-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att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gaa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gcg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ggg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gtt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aaa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>gt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>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Style w:val="11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NM_001145953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451-658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97.7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ipk1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5’-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bookmarkStart w:id="4" w:name="OLE_LINK2"/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ctg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ggc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ttc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act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gag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tct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ca</w:t>
            </w:r>
            <w:bookmarkEnd w:id="4"/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5’- tca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agt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ggt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tca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gca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ggt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 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Style w:val="11"/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NM_001359997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2168-2351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102.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ipk3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5’-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gta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gga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ccc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aga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gct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gt -3’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5’-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ctg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tca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cac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act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gtt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tcc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cg 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Style w:val="11"/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NM_001164107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771-926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102.95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lkl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5’-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aag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aag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aac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ctg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ccc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gat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ga -3’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5’-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ctg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gct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gac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tga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aac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gg 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NM_001310613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532-768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99.88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1β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5’- gcc cat cct ctg tga ctc at -3’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5’- agg cca cag gta ttt tgt 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cg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NM_008361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387-616 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98.63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5'- 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caa agt gcc agt gaa ccc cag ac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-3'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5'- 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aca gag agg gtc aca gcc agt c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-3'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NM_001357221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655-740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108.08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sc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5'- 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gga cgg agt gct gga tgc ttt g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-3'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5'-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cat ctt gtc ttg gct ggt ggt ctc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-3'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NM_023258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595-685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101.43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Caspase1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5'- 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ata caa cca ctc gta cac gtc ttg c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-3'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5'-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tcc tcc agc agc aac ttc att tct c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-3'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NM_009807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667-781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104.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sdmd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5'- 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cga tgg gaa cat tca ggg cag ag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-3'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5'-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aca cat tca tgg agg cac tgg aac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-3'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NM_026960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408-511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99.35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  <w:t>T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auto"/>
                <w:sz w:val="20"/>
                <w:szCs w:val="20"/>
                <w:lang w:val="en-US"/>
              </w:rPr>
              <w:t>gf</w:t>
            </w:r>
            <w:r>
              <w:rPr>
                <w:rStyle w:val="11"/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  <w:t>β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>5’- ttg ctt cag ctc cac aga ga - 3’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>5’- tgg ttg tag agg gca agg ac 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Style w:val="11"/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NM_011577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1719-1901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98.81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os2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5'- 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ggt ctt tga aat ccc tcc tga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-3'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5'- 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agc tcc tgg aac cac tcg ta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-3'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Style w:val="11"/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NM_001313921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939-1013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99.26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  <w:t>Arg1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 xml:space="preserve">5’- </w:t>
            </w: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ctg gca gtt gga agc atc tct</w:t>
            </w: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 xml:space="preserve"> -3’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 xml:space="preserve">5’- </w:t>
            </w: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gtg agc atc cac cca aat gac</w:t>
            </w: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 xml:space="preserve"> 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NM_007482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409-480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96.9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  <w:t>CD206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>5’- atg cca agt ggg aaa atc tg -3’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>5’- tgt agc agt ggc ctg cat ag 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NM_0086</w:t>
            </w:r>
            <w:bookmarkStart w:id="5" w:name="_GoBack"/>
            <w:bookmarkEnd w:id="5"/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1070-1222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102.33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  <w:t>Y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auto"/>
                <w:sz w:val="20"/>
                <w:szCs w:val="20"/>
                <w:lang w:val="en-US"/>
              </w:rPr>
              <w:t>m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auto"/>
                <w:sz w:val="20"/>
                <w:szCs w:val="20"/>
              </w:rPr>
              <w:t>1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>5’- atc tat gcc ttt gct gga atg c -3’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  <w:t>5’- tga atg aat atc tga cgg ttc tga g 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NM_009892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206-405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101.36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lrp3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5’- atg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ctg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cga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cat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 -3’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5’- aac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caa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tgc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gag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atc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ctg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ac 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NM_001359638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2484-2679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99.3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" w:type="dxa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i/>
                <w:i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CD86</w:t>
            </w:r>
          </w:p>
        </w:tc>
        <w:tc>
          <w:tcPr>
            <w:tcW w:w="179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5’-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cac gag ctt tga cag gaa ca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-3’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auto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5’- </w:t>
            </w: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tta ggt ttc ggg tga cct tg</w:t>
            </w:r>
            <w:r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-3’</w:t>
            </w:r>
          </w:p>
        </w:tc>
        <w:tc>
          <w:tcPr>
            <w:tcW w:w="1336" w:type="dxa"/>
            <w:vAlign w:val="center"/>
          </w:tcPr>
          <w:p>
            <w:pPr>
              <w:pStyle w:val="5"/>
              <w:widowControl/>
              <w:shd w:val="clear" w:color="auto" w:fill="FFFFFF"/>
              <w:jc w:val="center"/>
              <w:rPr>
                <w:rStyle w:val="11"/>
                <w:rFonts w:hint="default"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erif" w:cs="Times New Roman"/>
                <w:color w:val="000000"/>
                <w:sz w:val="20"/>
                <w:szCs w:val="20"/>
                <w:shd w:val="clear" w:color="auto" w:fill="FFFFFF"/>
              </w:rPr>
              <w:t>NM_019388</w:t>
            </w:r>
          </w:p>
        </w:tc>
        <w:tc>
          <w:tcPr>
            <w:tcW w:w="1296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</w:rPr>
              <w:t>371-616</w:t>
            </w:r>
          </w:p>
        </w:tc>
        <w:tc>
          <w:tcPr>
            <w:tcW w:w="1641" w:type="dxa"/>
            <w:vAlign w:val="center"/>
          </w:tcPr>
          <w:p>
            <w:pPr>
              <w:spacing w:line="360" w:lineRule="auto"/>
              <w:jc w:val="center"/>
              <w:rPr>
                <w:rStyle w:val="11"/>
                <w:rFonts w:ascii="Times New Roman" w:hAnsi="Times New Roman" w:eastAsia="宋体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/>
              </w:rPr>
              <w:t>250 nM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101.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30</w:t>
            </w:r>
          </w:p>
        </w:tc>
      </w:tr>
    </w:tbl>
    <w:p>
      <w:pPr>
        <w:rPr>
          <w:sz w:val="20"/>
          <w:szCs w:val="20"/>
        </w:rPr>
      </w:pPr>
    </w:p>
    <w:p/>
    <w:p/>
    <w:p>
      <w:pPr>
        <w:autoSpaceDE w:val="0"/>
        <w:autoSpaceDN w:val="0"/>
        <w:adjustRightInd w:val="0"/>
        <w:spacing w:line="480" w:lineRule="auto"/>
        <w:rPr>
          <w:rFonts w:ascii="Times New Roman" w:hAnsi="Times New Roman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OT1ab0d708 . 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华光中长宋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华光中圆_CNKI">
    <w:panose1 w:val="02000500000000000000"/>
    <w:charset w:val="86"/>
    <w:family w:val="auto"/>
    <w:pitch w:val="default"/>
    <w:sig w:usb0="A00002BF" w:usb1="1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VjOWM0ZDg5YjNjZmI5NjhkZjRkNThiMWFlMjFmZD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seas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appx2d219pzsueaw2d5wzee9rsexfsftez2&quot;&gt;reference&lt;record-ids&gt;&lt;item&gt;637&lt;/item&gt;&lt;/record-ids&gt;&lt;/item&gt;&lt;/Libraries&gt;"/>
  </w:docVars>
  <w:rsids>
    <w:rsidRoot w:val="0E2031BE"/>
    <w:rsid w:val="0007200F"/>
    <w:rsid w:val="000F2F26"/>
    <w:rsid w:val="001A3A98"/>
    <w:rsid w:val="00337803"/>
    <w:rsid w:val="003A3359"/>
    <w:rsid w:val="00495954"/>
    <w:rsid w:val="00524A6E"/>
    <w:rsid w:val="005B4B61"/>
    <w:rsid w:val="00637BA6"/>
    <w:rsid w:val="00656EA1"/>
    <w:rsid w:val="007518A6"/>
    <w:rsid w:val="007D4DF3"/>
    <w:rsid w:val="00801E2D"/>
    <w:rsid w:val="00827CBF"/>
    <w:rsid w:val="00895F12"/>
    <w:rsid w:val="008C2FFA"/>
    <w:rsid w:val="008D4050"/>
    <w:rsid w:val="009A3EAB"/>
    <w:rsid w:val="00B55B80"/>
    <w:rsid w:val="00B7490F"/>
    <w:rsid w:val="00C06DE7"/>
    <w:rsid w:val="00C83223"/>
    <w:rsid w:val="00C8486C"/>
    <w:rsid w:val="00CD2392"/>
    <w:rsid w:val="00DE2228"/>
    <w:rsid w:val="00E152AC"/>
    <w:rsid w:val="00E52DF4"/>
    <w:rsid w:val="00F01467"/>
    <w:rsid w:val="00F55296"/>
    <w:rsid w:val="034D2B3D"/>
    <w:rsid w:val="05C34FA1"/>
    <w:rsid w:val="086474C4"/>
    <w:rsid w:val="087B2CEC"/>
    <w:rsid w:val="0B9138E7"/>
    <w:rsid w:val="0CD90EE9"/>
    <w:rsid w:val="0E2031BE"/>
    <w:rsid w:val="1DD16694"/>
    <w:rsid w:val="2019376E"/>
    <w:rsid w:val="2610140B"/>
    <w:rsid w:val="2B367AC2"/>
    <w:rsid w:val="31A01DEA"/>
    <w:rsid w:val="35F571D8"/>
    <w:rsid w:val="3DCD5444"/>
    <w:rsid w:val="3DCD786D"/>
    <w:rsid w:val="403B5F58"/>
    <w:rsid w:val="45A82071"/>
    <w:rsid w:val="48A3250A"/>
    <w:rsid w:val="52BE6538"/>
    <w:rsid w:val="5AC114E4"/>
    <w:rsid w:val="5E5E6D39"/>
    <w:rsid w:val="5E7D4D56"/>
    <w:rsid w:val="67E7176C"/>
    <w:rsid w:val="70FC435A"/>
    <w:rsid w:val="711E0FBB"/>
    <w:rsid w:val="7C00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99"/>
    <w:rPr>
      <w:sz w:val="20"/>
      <w:szCs w:val="20"/>
    </w:r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lang w:val="en-US"/>
    </w:rPr>
  </w:style>
  <w:style w:type="paragraph" w:styleId="6">
    <w:name w:val="annotation subject"/>
    <w:basedOn w:val="2"/>
    <w:next w:val="2"/>
    <w:link w:val="20"/>
    <w:qFormat/>
    <w:uiPriority w:val="0"/>
    <w:rPr>
      <w:b/>
      <w:bCs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qFormat/>
    <w:uiPriority w:val="0"/>
    <w:rPr>
      <w:sz w:val="16"/>
      <w:szCs w:val="16"/>
    </w:rPr>
  </w:style>
  <w:style w:type="character" w:customStyle="1" w:styleId="11">
    <w:name w:val="fontstyle01"/>
    <w:basedOn w:val="9"/>
    <w:qFormat/>
    <w:uiPriority w:val="0"/>
    <w:rPr>
      <w:rFonts w:ascii="AdvOT1ab0d708 . B" w:hAnsi="AdvOT1ab0d708 . B" w:eastAsia="AdvOT1ab0d708 . B" w:cs="AdvOT1ab0d708 . B"/>
      <w:color w:val="000000"/>
      <w:sz w:val="36"/>
      <w:szCs w:val="36"/>
    </w:rPr>
  </w:style>
  <w:style w:type="character" w:customStyle="1" w:styleId="12">
    <w:name w:val="页眉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3"/>
    <w:qFormat/>
    <w:uiPriority w:val="0"/>
    <w:rPr>
      <w:kern w:val="2"/>
      <w:sz w:val="18"/>
      <w:szCs w:val="18"/>
    </w:rPr>
  </w:style>
  <w:style w:type="paragraph" w:customStyle="1" w:styleId="14">
    <w:name w:val="EndNote Bibliography Title"/>
    <w:basedOn w:val="1"/>
    <w:link w:val="15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15">
    <w:name w:val="EndNote Bibliography Title 字符"/>
    <w:basedOn w:val="9"/>
    <w:link w:val="14"/>
    <w:qFormat/>
    <w:uiPriority w:val="0"/>
    <w:rPr>
      <w:rFonts w:ascii="Calibri" w:hAnsi="Calibri" w:cs="Calibri"/>
      <w:kern w:val="2"/>
      <w:szCs w:val="24"/>
      <w:lang w:val="en-GB"/>
    </w:rPr>
  </w:style>
  <w:style w:type="paragraph" w:customStyle="1" w:styleId="16">
    <w:name w:val="EndNote Bibliography"/>
    <w:basedOn w:val="1"/>
    <w:link w:val="17"/>
    <w:qFormat/>
    <w:uiPriority w:val="0"/>
    <w:rPr>
      <w:rFonts w:ascii="Calibri" w:hAnsi="Calibri" w:cs="Calibri"/>
      <w:sz w:val="20"/>
    </w:rPr>
  </w:style>
  <w:style w:type="character" w:customStyle="1" w:styleId="17">
    <w:name w:val="EndNote Bibliography 字符"/>
    <w:basedOn w:val="9"/>
    <w:link w:val="16"/>
    <w:qFormat/>
    <w:uiPriority w:val="0"/>
    <w:rPr>
      <w:rFonts w:ascii="Calibri" w:hAnsi="Calibri" w:cs="Calibri"/>
      <w:kern w:val="2"/>
      <w:szCs w:val="24"/>
      <w:lang w:val="en-GB"/>
    </w:rPr>
  </w:style>
  <w:style w:type="character" w:customStyle="1" w:styleId="18">
    <w:name w:val="批注文字 字符"/>
    <w:basedOn w:val="9"/>
    <w:link w:val="2"/>
    <w:qFormat/>
    <w:uiPriority w:val="99"/>
    <w:rPr>
      <w:kern w:val="2"/>
      <w:lang w:val="en-GB" w:eastAsia="zh-CN"/>
    </w:rPr>
  </w:style>
  <w:style w:type="paragraph" w:customStyle="1" w:styleId="1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  <w:style w:type="character" w:customStyle="1" w:styleId="20">
    <w:name w:val="批注主题 字符"/>
    <w:basedOn w:val="18"/>
    <w:link w:val="6"/>
    <w:qFormat/>
    <w:uiPriority w:val="0"/>
    <w:rPr>
      <w:b/>
      <w:bCs/>
      <w:kern w:val="2"/>
      <w:lang w:val="en-GB" w:eastAsia="zh-CN"/>
    </w:rPr>
  </w:style>
  <w:style w:type="paragraph" w:customStyle="1" w:styleId="2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GB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BED1B-708E-454C-851C-767BD5EC14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1618</Words>
  <Characters>9015</Characters>
  <Lines>109</Lines>
  <Paragraphs>29</Paragraphs>
  <TotalTime>43</TotalTime>
  <ScaleCrop>false</ScaleCrop>
  <LinksUpToDate>false</LinksUpToDate>
  <CharactersWithSpaces>10486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2022-06-27T15:21:00Z</dcterms:created>
  <dc:creator>白丽</dc:creator>
  <cp:lastModifiedBy>白丽</cp:lastModifiedBy>
  <dcterms:modified xsi:type="dcterms:W3CDTF">2022-08-01T00:20:40Z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minderText">
    <vt:lpwstr>_73J1PG73</vt:lpwstr>
  </property>
  <property fmtid="{D5CDD505-2E9C-101B-9397-08002B2CF9AE}" pid="3" name="KSOProductBuildVer">
    <vt:lpwstr>2052-11.1.0.11875</vt:lpwstr>
  </property>
  <property fmtid="{D5CDD505-2E9C-101B-9397-08002B2CF9AE}" pid="4" name="ICV">
    <vt:lpwstr>DF06C3E32A594FF789ABD76B8F6EB5FF</vt:lpwstr>
  </property>
</Properties>
</file>