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B8" w:rsidRDefault="001A7BB8" w:rsidP="001A7BB8">
      <w:pPr>
        <w:widowControl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Supplemental Figure Legend</w:t>
      </w:r>
    </w:p>
    <w:p w:rsidR="001A7BB8" w:rsidRDefault="001A7BB8" w:rsidP="001A7BB8">
      <w:pPr>
        <w:widowControl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Supplemental Figure 1 (Figure S1).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Verification of ICN1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overexpression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induced T-ALL model.</w:t>
      </w:r>
    </w:p>
    <w:p w:rsidR="001A7BB8" w:rsidRPr="00EA1D2F" w:rsidRDefault="00EA1D2F" w:rsidP="00EA1D2F">
      <w:pPr>
        <w:widowControl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E</w:t>
      </w:r>
      <w:r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stablishment of a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 </w:t>
      </w:r>
      <w:proofErr w:type="spellStart"/>
      <w:r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murine</w:t>
      </w:r>
      <w:proofErr w:type="spellEnd"/>
      <w:r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leukemia</w:t>
      </w:r>
      <w:r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model by Notch1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lang w:val="en-US"/>
        </w:rPr>
        <w:t>overexpression</w:t>
      </w:r>
      <w:proofErr w:type="spellEnd"/>
      <w:r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. </w:t>
      </w:r>
      <w:r w:rsidR="00C90E0A" w:rsidRPr="00EA1D2F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(B) 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The spleen size of T-ALL mice was observed on day14 after establishment. (</w:t>
      </w:r>
      <w:r w:rsidR="00C90E0A" w:rsidRPr="00EA1D2F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C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) The weight of spleen was elevated in T-ALL mice. (</w:t>
      </w:r>
      <w:r w:rsidR="00C90E0A" w:rsidRPr="00EA1D2F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D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Relative mRNA expression of ICN1 in </w:t>
      </w:r>
      <w:proofErr w:type="spellStart"/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leukaemia</w:t>
      </w:r>
      <w:proofErr w:type="spellEnd"/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cells. (</w:t>
      </w:r>
      <w:r w:rsidR="00C90E0A" w:rsidRPr="00EA1D2F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E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FACS detected the expression of CD3 in </w:t>
      </w:r>
      <w:proofErr w:type="spellStart"/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>leukaemia</w:t>
      </w:r>
      <w:proofErr w:type="spellEnd"/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cells. (</w:t>
      </w:r>
      <w:r w:rsidR="00C90E0A" w:rsidRPr="00EA1D2F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F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Fluorescence </w:t>
      </w:r>
      <w:r w:rsidR="001A7BB8" w:rsidRPr="00EA1D2F">
        <w:rPr>
          <w:rFonts w:ascii="Times New Roman" w:eastAsia="AdvPA5CD" w:hAnsi="Times New Roman" w:cs="Times New Roman"/>
          <w:color w:val="000000" w:themeColor="text1"/>
          <w:kern w:val="0"/>
          <w:sz w:val="24"/>
          <w:lang w:val="en-US"/>
        </w:rPr>
        <w:t xml:space="preserve">images </w:t>
      </w:r>
      <w:r w:rsidR="001A7BB8" w:rsidRPr="00EA1D2F">
        <w:rPr>
          <w:rFonts w:ascii="Times New Roman" w:hAnsi="Times New Roman" w:cs="Times New Roman"/>
          <w:color w:val="000000" w:themeColor="text1"/>
          <w:kern w:val="0"/>
          <w:sz w:val="24"/>
          <w:lang w:val="en-US"/>
        </w:rPr>
        <w:t>showed that over 90% BM cells were GFP positive</w:t>
      </w:r>
      <w:r w:rsidR="001A7BB8" w:rsidRPr="00EA1D2F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. </w:t>
      </w:r>
    </w:p>
    <w:p w:rsidR="001A7BB8" w:rsidRDefault="001A7BB8" w:rsidP="001A7BB8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CF2708" w:rsidRDefault="00CF2708" w:rsidP="001A7BB8">
      <w:pPr>
        <w:widowControl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Supplemental Figure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(Figure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).</w:t>
      </w:r>
      <w:proofErr w:type="gramEnd"/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GO </w:t>
      </w:r>
      <w:r w:rsidR="00E85847" w:rsidRPr="00E37640">
        <w:rPr>
          <w:rFonts w:ascii="Times New Roman" w:hAnsi="Times New Roman" w:hint="eastAsia"/>
          <w:b/>
          <w:sz w:val="24"/>
        </w:rPr>
        <w:t>en</w:t>
      </w:r>
      <w:r w:rsidR="00E85847" w:rsidRPr="00E37640">
        <w:rPr>
          <w:rFonts w:ascii="Times New Roman" w:hAnsi="Times New Roman"/>
          <w:b/>
          <w:sz w:val="24"/>
        </w:rPr>
        <w:t>richment</w:t>
      </w:r>
      <w:r w:rsidR="00E85847" w:rsidRPr="00E37640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analysis</w:t>
      </w:r>
      <w:r w:rsidR="00E85847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of</w:t>
      </w:r>
      <w:r w:rsidR="008E372C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target genes.</w:t>
      </w:r>
    </w:p>
    <w:p w:rsidR="008E372C" w:rsidRDefault="00C94F4B" w:rsidP="001A7BB8">
      <w:pPr>
        <w:widowControl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lang w:val="en-US"/>
        </w:rPr>
      </w:pPr>
      <w:r w:rsidRPr="00C94F4B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(A) </w:t>
      </w:r>
      <w:r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GO </w:t>
      </w:r>
      <w:r w:rsidRPr="00C94F4B">
        <w:rPr>
          <w:rFonts w:ascii="Times New Roman" w:hAnsi="Times New Roman" w:hint="eastAsia"/>
          <w:sz w:val="24"/>
        </w:rPr>
        <w:t>en</w:t>
      </w:r>
      <w:r w:rsidRPr="00C94F4B">
        <w:rPr>
          <w:rFonts w:ascii="Times New Roman" w:hAnsi="Times New Roman"/>
          <w:sz w:val="24"/>
        </w:rPr>
        <w:t>richment</w:t>
      </w:r>
      <w:r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analysis of functions of target genes and </w:t>
      </w:r>
      <w:r w:rsidRPr="00C94F4B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signaling</w:t>
      </w:r>
      <w:r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pathway of MSCs isolated from </w:t>
      </w:r>
      <w:r w:rsidR="00491AE1"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>BM</w:t>
      </w:r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of </w:t>
      </w:r>
      <w:r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>T-ALL and control</w:t>
      </w:r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mice</w:t>
      </w:r>
      <w:r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. (B) </w:t>
      </w:r>
      <w:r w:rsidR="00491AE1"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GO </w:t>
      </w:r>
      <w:r w:rsidR="00491AE1" w:rsidRPr="00C94F4B">
        <w:rPr>
          <w:rFonts w:ascii="Times New Roman" w:hAnsi="Times New Roman" w:hint="eastAsia"/>
          <w:sz w:val="24"/>
        </w:rPr>
        <w:t>en</w:t>
      </w:r>
      <w:r w:rsidR="00491AE1" w:rsidRPr="00C94F4B">
        <w:rPr>
          <w:rFonts w:ascii="Times New Roman" w:hAnsi="Times New Roman"/>
          <w:sz w:val="24"/>
        </w:rPr>
        <w:t>richment</w:t>
      </w:r>
      <w:r w:rsidR="00491AE1"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analysis of functions of target genes and </w:t>
      </w:r>
      <w:r w:rsidR="00491AE1" w:rsidRPr="00C94F4B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signaling</w:t>
      </w:r>
      <w:r w:rsidR="00491AE1"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pathway of</w:t>
      </w:r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primary </w:t>
      </w:r>
      <w:proofErr w:type="spellStart"/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>murine</w:t>
      </w:r>
      <w:proofErr w:type="spellEnd"/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T-ALL cells co-cultured in vitro with MSCs from </w:t>
      </w:r>
      <w:r w:rsidR="00BD2527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>T-ALL or</w:t>
      </w:r>
      <w:r w:rsidR="00491AE1" w:rsidRPr="00C94F4B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control</w:t>
      </w:r>
      <w:r w:rsidR="00491AE1">
        <w:rPr>
          <w:rFonts w:ascii="Times New Roman" w:hAnsi="Times New Roman" w:cs="Times New Roman" w:hint="eastAsia"/>
          <w:bCs/>
          <w:color w:val="000000" w:themeColor="text1"/>
          <w:sz w:val="24"/>
          <w:lang w:val="en-US"/>
        </w:rPr>
        <w:t xml:space="preserve"> mice.</w:t>
      </w:r>
    </w:p>
    <w:p w:rsidR="00C94F4B" w:rsidRPr="00C94F4B" w:rsidRDefault="00C94F4B" w:rsidP="001A7BB8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1A7BB8" w:rsidRDefault="001A7BB8" w:rsidP="001A7BB8">
      <w:pPr>
        <w:widowControl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Supplemental Figure </w:t>
      </w:r>
      <w:r w:rsidR="00CF2708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(Figure S</w:t>
      </w:r>
      <w:r w:rsidR="00CF2708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).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Construction of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lentivirus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-based sh-FGF2 vectors.</w:t>
      </w:r>
      <w:proofErr w:type="gramEnd"/>
    </w:p>
    <w:p w:rsidR="001A7BB8" w:rsidRDefault="003C66C3" w:rsidP="00AD3341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(A</w:t>
      </w:r>
      <w:r w:rsidR="00AD3341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) </w:t>
      </w:r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Schematic diagram of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lentiviral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interference vect</w:t>
      </w:r>
      <w:r w:rsidR="00AD3341">
        <w:rPr>
          <w:rFonts w:ascii="Times New Roman" w:hAnsi="Times New Roman" w:cs="Times New Roman"/>
          <w:color w:val="000000" w:themeColor="text1"/>
          <w:sz w:val="24"/>
          <w:lang w:val="en-US"/>
        </w:rPr>
        <w:t>ors of PLVX-shFGF2-mcherry. (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B</w:t>
      </w:r>
      <w:r w:rsidR="00AD3341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) </w:t>
      </w:r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Fluorescence (upper) and </w:t>
      </w:r>
      <w:r w:rsidR="001A7BB8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bright-field</w:t>
      </w:r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(lower) image of 293T cells packaging scramble and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sh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-RNA. (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C</w:t>
      </w:r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Primary MSCs from T-ALL mice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transfected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with virus. (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D</w:t>
      </w:r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The expression of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mCherry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was detected by flow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cytometry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to verify the </w:t>
      </w:r>
      <w:proofErr w:type="spellStart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>transfection</w:t>
      </w:r>
      <w:proofErr w:type="spellEnd"/>
      <w:r w:rsidR="001A7BB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efficiency of MSCs. </w:t>
      </w:r>
    </w:p>
    <w:p w:rsidR="001A7BB8" w:rsidRDefault="001A7BB8" w:rsidP="001A7BB8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1A7BB8" w:rsidRDefault="00280558" w:rsidP="00167BCE">
      <w:pPr>
        <w:widowControl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Supplemental Figure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</w:t>
      </w:r>
      <w:r w:rsidR="00CF2708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(Figure S</w:t>
      </w:r>
      <w:r w:rsidR="00CF2708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).</w:t>
      </w:r>
      <w:proofErr w:type="gramEnd"/>
      <w:r w:rsidR="00167BCE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</w:t>
      </w:r>
      <w:r w:rsidR="00AD18AB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Primary </w:t>
      </w:r>
      <w:proofErr w:type="spellStart"/>
      <w:r w:rsidR="00AD18AB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murine</w:t>
      </w:r>
      <w:proofErr w:type="spellEnd"/>
      <w:r w:rsidR="00AD18AB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T-ALL cells </w:t>
      </w:r>
      <w:r w:rsidR="009F472C" w:rsidRPr="009F472C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die rapidly </w:t>
      </w:r>
      <w:r w:rsidR="009F472C" w:rsidRPr="009F472C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en-US"/>
        </w:rPr>
        <w:t>in vitro</w:t>
      </w:r>
      <w:r w:rsidR="009F472C"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.</w:t>
      </w:r>
    </w:p>
    <w:p w:rsidR="0017479B" w:rsidRDefault="00167BCE" w:rsidP="00167BCE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4"/>
          <w:lang w:val="en-US"/>
        </w:rPr>
      </w:pP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>(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A</w:t>
      </w: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) 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A</w:t>
      </w: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poptosis 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rate </w:t>
      </w: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of </w:t>
      </w:r>
      <w:r w:rsidR="00EB39C6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primary </w:t>
      </w:r>
      <w:proofErr w:type="spellStart"/>
      <w:r w:rsidR="00EB39C6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murine</w:t>
      </w:r>
      <w:proofErr w:type="spellEnd"/>
      <w:r w:rsidR="00EB39C6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T-ALL</w:t>
      </w: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7954E4">
        <w:rPr>
          <w:rFonts w:ascii="Times New Roman" w:hAnsi="Times New Roman" w:cs="Times New Roman"/>
          <w:color w:val="000000" w:themeColor="text1"/>
          <w:sz w:val="24"/>
        </w:rPr>
        <w:t>cells</w:t>
      </w:r>
      <w:r w:rsidRPr="007954E4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cultured </w:t>
      </w:r>
      <w:r w:rsidR="00EB39C6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in vitro alone </w:t>
      </w:r>
      <w:r w:rsidR="00084C29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for 16 hours</w:t>
      </w:r>
      <w:r w:rsidRPr="007954E4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(B) Growth curve showed that </w:t>
      </w:r>
      <w:r w:rsidR="009F472C">
        <w:rPr>
          <w:rFonts w:ascii="Times New Roman" w:hAnsi="Times New Roman" w:cs="Times New Roman" w:hint="eastAsia"/>
          <w:color w:val="000000" w:themeColor="text1"/>
          <w:sz w:val="24"/>
        </w:rPr>
        <w:t>primary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T-ALL cells</w:t>
      </w:r>
      <w:r w:rsidR="009F472C"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 xml:space="preserve"> went through apoptosis rapidly </w:t>
      </w:r>
      <w:r w:rsidR="009F472C" w:rsidRPr="009F472C">
        <w:rPr>
          <w:rFonts w:ascii="Times New Roman" w:hAnsi="Times New Roman" w:cs="Times New Roman" w:hint="eastAsia"/>
          <w:i/>
          <w:color w:val="000000" w:themeColor="text1"/>
          <w:sz w:val="24"/>
          <w:lang w:val="en-US"/>
        </w:rPr>
        <w:t>in vitro</w:t>
      </w:r>
      <w:r>
        <w:rPr>
          <w:rFonts w:ascii="Times New Roman" w:hAnsi="Times New Roman" w:cs="Times New Roman" w:hint="eastAsia"/>
          <w:color w:val="000000" w:themeColor="text1"/>
          <w:sz w:val="24"/>
          <w:lang w:val="en-US"/>
        </w:rPr>
        <w:t>.</w:t>
      </w:r>
    </w:p>
    <w:p w:rsidR="00117539" w:rsidRDefault="00117539" w:rsidP="00167BCE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4"/>
          <w:lang w:val="en-US"/>
        </w:rPr>
      </w:pPr>
    </w:p>
    <w:p w:rsidR="00117539" w:rsidRPr="00117539" w:rsidRDefault="00117539" w:rsidP="00167BCE">
      <w:pPr>
        <w:spacing w:line="480" w:lineRule="auto"/>
        <w:rPr>
          <w:rFonts w:ascii="Times New Roman" w:hAnsi="Times New Roman" w:cs="Times New Roman" w:hint="eastAsia"/>
          <w:b/>
          <w:color w:val="000000" w:themeColor="text1"/>
          <w:sz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Supplemental Figure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5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(Figure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>5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).</w:t>
      </w:r>
      <w:proofErr w:type="gramEnd"/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lang w:val="en-US"/>
        </w:rPr>
        <w:t xml:space="preserve"> </w:t>
      </w:r>
      <w:r w:rsidRPr="00117539">
        <w:rPr>
          <w:rFonts w:ascii="Times New Roman" w:hAnsi="Times New Roman" w:cs="Times New Roman" w:hint="eastAsia"/>
          <w:b/>
          <w:color w:val="000000" w:themeColor="text1"/>
          <w:sz w:val="24"/>
          <w:shd w:val="clear" w:color="auto" w:fill="FFFFFF"/>
        </w:rPr>
        <w:t xml:space="preserve">FGF2 knockdown </w:t>
      </w:r>
      <w:r w:rsidRPr="0011753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</w:rPr>
        <w:t>attenuate</w:t>
      </w:r>
      <w:r w:rsidRPr="00117539">
        <w:rPr>
          <w:rFonts w:ascii="Times New Roman" w:hAnsi="Times New Roman" w:cs="Times New Roman" w:hint="eastAsia"/>
          <w:b/>
          <w:color w:val="000000" w:themeColor="text1"/>
          <w:sz w:val="24"/>
          <w:shd w:val="clear" w:color="auto" w:fill="FFFFFF"/>
        </w:rPr>
        <w:t>d the growth capacity of MSCs.</w:t>
      </w:r>
    </w:p>
    <w:p w:rsidR="00117539" w:rsidRDefault="00117539" w:rsidP="00167BCE">
      <w:pPr>
        <w:spacing w:line="480" w:lineRule="auto"/>
      </w:pPr>
      <w:r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MS-5 cells were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transfected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with FGF2-shRNA and scramble control. (A) The proliferation rate of MS-5 decreased after FGF2 knockdown. (B) </w:t>
      </w:r>
      <w:r w:rsidR="00796D21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The apoptosis rate of MS-5 increased after FGF2 knockdown. (C) Growth curve revealed that the growth capacity of MS-5 decreased after FGF2 knockdown.</w:t>
      </w:r>
    </w:p>
    <w:sectPr w:rsidR="00117539" w:rsidSect="00174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B90" w:rsidRDefault="00F04B90" w:rsidP="001A7BB8">
      <w:r>
        <w:separator/>
      </w:r>
    </w:p>
  </w:endnote>
  <w:endnote w:type="continuationSeparator" w:id="0">
    <w:p w:rsidR="00F04B90" w:rsidRDefault="00F04B90" w:rsidP="001A7B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PA5CD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B90" w:rsidRDefault="00F04B90" w:rsidP="001A7BB8">
      <w:r>
        <w:separator/>
      </w:r>
    </w:p>
  </w:footnote>
  <w:footnote w:type="continuationSeparator" w:id="0">
    <w:p w:rsidR="00F04B90" w:rsidRDefault="00F04B90" w:rsidP="001A7B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2CD09C"/>
    <w:multiLevelType w:val="singleLevel"/>
    <w:tmpl w:val="822CD09C"/>
    <w:lvl w:ilvl="0">
      <w:start w:val="1"/>
      <w:numFmt w:val="upperLetter"/>
      <w:suff w:val="space"/>
      <w:lvlText w:val="(%1)"/>
      <w:lvlJc w:val="left"/>
      <w:pPr>
        <w:ind w:left="0" w:firstLine="0"/>
      </w:pPr>
      <w:rPr>
        <w:b w:val="0"/>
        <w:bCs w:val="0"/>
      </w:rPr>
    </w:lvl>
  </w:abstractNum>
  <w:abstractNum w:abstractNumId="1">
    <w:nsid w:val="A54B7263"/>
    <w:multiLevelType w:val="singleLevel"/>
    <w:tmpl w:val="A54B7263"/>
    <w:lvl w:ilvl="0">
      <w:start w:val="1"/>
      <w:numFmt w:val="upperLetter"/>
      <w:suff w:val="space"/>
      <w:lvlText w:val="(%1)"/>
      <w:lvlJc w:val="left"/>
      <w:pPr>
        <w:ind w:left="0" w:firstLine="0"/>
      </w:pPr>
      <w:rPr>
        <w:b w:val="0"/>
        <w:bCs w:val="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7BB8"/>
    <w:rsid w:val="00084C29"/>
    <w:rsid w:val="00117539"/>
    <w:rsid w:val="00167BCE"/>
    <w:rsid w:val="0017479B"/>
    <w:rsid w:val="001A7BB8"/>
    <w:rsid w:val="00247BCA"/>
    <w:rsid w:val="00263363"/>
    <w:rsid w:val="00280558"/>
    <w:rsid w:val="00330619"/>
    <w:rsid w:val="003C07F3"/>
    <w:rsid w:val="003C66C3"/>
    <w:rsid w:val="00491AE1"/>
    <w:rsid w:val="00613063"/>
    <w:rsid w:val="006E2BF2"/>
    <w:rsid w:val="006E6143"/>
    <w:rsid w:val="00796D21"/>
    <w:rsid w:val="008C19D9"/>
    <w:rsid w:val="008E372C"/>
    <w:rsid w:val="009F472C"/>
    <w:rsid w:val="00A85321"/>
    <w:rsid w:val="00A97A9B"/>
    <w:rsid w:val="00AD18AB"/>
    <w:rsid w:val="00AD3341"/>
    <w:rsid w:val="00BD2527"/>
    <w:rsid w:val="00BE7760"/>
    <w:rsid w:val="00C71164"/>
    <w:rsid w:val="00C90E0A"/>
    <w:rsid w:val="00C94F4B"/>
    <w:rsid w:val="00CF2708"/>
    <w:rsid w:val="00D623D7"/>
    <w:rsid w:val="00DC1053"/>
    <w:rsid w:val="00DE1F5F"/>
    <w:rsid w:val="00E137C9"/>
    <w:rsid w:val="00E37640"/>
    <w:rsid w:val="00E85847"/>
    <w:rsid w:val="00EA1D2F"/>
    <w:rsid w:val="00EB39C6"/>
    <w:rsid w:val="00F0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7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B8"/>
    <w:pPr>
      <w:widowControl w:val="0"/>
      <w:spacing w:line="240" w:lineRule="auto"/>
      <w:jc w:val="both"/>
    </w:pPr>
    <w:rPr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7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7B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7BB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7B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8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spj</dc:creator>
  <cp:keywords/>
  <dc:description/>
  <cp:lastModifiedBy>spj</cp:lastModifiedBy>
  <cp:revision>45</cp:revision>
  <dcterms:created xsi:type="dcterms:W3CDTF">2021-11-13T09:44:00Z</dcterms:created>
  <dcterms:modified xsi:type="dcterms:W3CDTF">2022-08-20T16:55:00Z</dcterms:modified>
</cp:coreProperties>
</file>