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D67" w:rsidRDefault="005D605C"/>
    <w:p w:rsidR="005D605C" w:rsidRDefault="005D605C"/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b/>
          <w:bCs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Fig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S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>1</w:t>
      </w: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. circIFNGR2 affected the proliferation ability of CRC cells</w:t>
      </w:r>
    </w:p>
    <w:p w:rsidR="005D605C" w:rsidRDefault="005D605C" w:rsidP="005D605C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CCK8 assay showed the effects of circIFNGR2 on cell growth 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b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.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Representative images of the colony formation assay in the indicated cells</w:t>
      </w:r>
      <w:r>
        <w:rPr>
          <w:rFonts w:ascii="Times New Roman" w:eastAsiaTheme="majorHAnsi" w:hAnsi="Times New Roman" w:cs="Times New Roman"/>
          <w:color w:val="000000" w:themeColor="text1"/>
        </w:rPr>
        <w:t>.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c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>.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Statistical analysis of the colony formation results. 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d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>.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Representative </w:t>
      </w:r>
      <w:proofErr w:type="spellStart"/>
      <w:r>
        <w:rPr>
          <w:rFonts w:ascii="Times New Roman" w:eastAsiaTheme="majorHAnsi" w:hAnsi="Times New Roman" w:cs="Times New Roman" w:hint="eastAsia"/>
          <w:color w:val="000000" w:themeColor="text1"/>
        </w:rPr>
        <w:t>transwell</w:t>
      </w:r>
      <w:proofErr w:type="spellEnd"/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chamber results comparing the effects of circIFNGR2 on cell migration between the CACO2-vector and CACO2-circIFNGR2 groups (left) and between the CACO2-NC and CACO2-circIFNGR2 </w:t>
      </w:r>
      <w:proofErr w:type="spellStart"/>
      <w:r>
        <w:rPr>
          <w:rFonts w:ascii="Times New Roman" w:eastAsiaTheme="majorHAnsi" w:hAnsi="Times New Roman" w:cs="Times New Roman" w:hint="eastAsia"/>
          <w:color w:val="000000" w:themeColor="text1"/>
        </w:rPr>
        <w:t>shRNA</w:t>
      </w:r>
      <w:proofErr w:type="spellEnd"/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groups (right)</w:t>
      </w:r>
      <w:r>
        <w:rPr>
          <w:rFonts w:ascii="Times New Roman" w:eastAsiaTheme="majorHAnsi" w:hAnsi="Times New Roman" w:cs="Times New Roman"/>
          <w:color w:val="000000" w:themeColor="text1"/>
        </w:rPr>
        <w:t>.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e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>.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Statistical analysis of the </w:t>
      </w:r>
      <w:proofErr w:type="spellStart"/>
      <w:r>
        <w:rPr>
          <w:rFonts w:ascii="Times New Roman" w:eastAsiaTheme="majorHAnsi" w:hAnsi="Times New Roman" w:cs="Times New Roman" w:hint="eastAsia"/>
          <w:color w:val="000000" w:themeColor="text1"/>
        </w:rPr>
        <w:t>transwell</w:t>
      </w:r>
      <w:proofErr w:type="spellEnd"/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chamber assay results. 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f,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g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>.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Wound healing assay results showing the differences in migration capacities in the indicated cells at </w:t>
      </w:r>
      <w:r>
        <w:rPr>
          <w:rFonts w:ascii="Times New Roman" w:eastAsiaTheme="majorHAnsi" w:hAnsi="Times New Roman" w:cs="Times New Roman"/>
          <w:color w:val="000000" w:themeColor="text1"/>
        </w:rPr>
        <w:t>3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regular intervals (left); statistical analysis of the wound healing assay results (right).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color w:val="000000" w:themeColor="text1"/>
        </w:rPr>
        <w:t>h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. Images of the tumor </w:t>
      </w:r>
      <w:proofErr w:type="spellStart"/>
      <w:r>
        <w:rPr>
          <w:rFonts w:ascii="Times New Roman" w:eastAsiaTheme="majorHAnsi" w:hAnsi="Times New Roman" w:cs="Times New Roman"/>
          <w:color w:val="000000" w:themeColor="text1"/>
        </w:rPr>
        <w:t>xenograft</w:t>
      </w:r>
      <w:proofErr w:type="spellEnd"/>
      <w:r>
        <w:rPr>
          <w:rFonts w:ascii="Times New Roman" w:eastAsiaTheme="majorHAnsi" w:hAnsi="Times New Roman" w:cs="Times New Roman"/>
          <w:color w:val="000000" w:themeColor="text1"/>
        </w:rPr>
        <w:t xml:space="preserve"> model.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j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>.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eastAsiaTheme="majorHAnsi" w:hAnsi="Times New Roman" w:cs="Times New Roman"/>
          <w:color w:val="000000" w:themeColor="text1"/>
        </w:rPr>
        <w:t>Hematoxylin</w:t>
      </w:r>
      <w:proofErr w:type="spellEnd"/>
      <w:r>
        <w:rPr>
          <w:rFonts w:ascii="Times New Roman" w:eastAsiaTheme="majorHAnsi" w:hAnsi="Times New Roman" w:cs="Times New Roman"/>
          <w:color w:val="000000" w:themeColor="text1"/>
        </w:rPr>
        <w:t xml:space="preserve"> and Eosin (H&amp;E) and Ki-67 </w:t>
      </w:r>
      <w:proofErr w:type="spellStart"/>
      <w:r>
        <w:rPr>
          <w:rFonts w:ascii="Times New Roman" w:eastAsiaTheme="majorHAnsi" w:hAnsi="Times New Roman" w:cs="Times New Roman"/>
          <w:color w:val="000000" w:themeColor="text1"/>
        </w:rPr>
        <w:t>immunohistochemical</w:t>
      </w:r>
      <w:proofErr w:type="spellEnd"/>
      <w:r>
        <w:rPr>
          <w:rFonts w:ascii="Times New Roman" w:eastAsiaTheme="majorHAnsi" w:hAnsi="Times New Roman" w:cs="Times New Roman"/>
          <w:color w:val="000000" w:themeColor="text1"/>
        </w:rPr>
        <w:t xml:space="preserve"> analysis on subcutaneous tumors from mouse tumor </w:t>
      </w:r>
      <w:proofErr w:type="spellStart"/>
      <w:r>
        <w:rPr>
          <w:rFonts w:ascii="Times New Roman" w:eastAsiaTheme="majorHAnsi" w:hAnsi="Times New Roman" w:cs="Times New Roman"/>
          <w:color w:val="000000" w:themeColor="text1"/>
        </w:rPr>
        <w:t>xenograft</w:t>
      </w:r>
      <w:proofErr w:type="spellEnd"/>
      <w:r>
        <w:rPr>
          <w:rFonts w:ascii="Times New Roman" w:eastAsiaTheme="majorHAnsi" w:hAnsi="Times New Roman" w:cs="Times New Roman"/>
          <w:color w:val="000000" w:themeColor="text1"/>
        </w:rPr>
        <w:t xml:space="preserve"> models (upper), statistical analysis of Ki-67 positive cells (lower).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i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>.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Comparison of tumor volume and weight of indicated cells.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b/>
          <w:bCs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Fig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S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>2</w:t>
      </w: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. MiR-30b suppresses the pro-oncogenic effect of circIFNGR2.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a.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CCK8 assay comparing the effects of circIFNGR2 on cell growth between the HCT8-vector, HCT8-circIFNGR2 groups,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HCT8-</w:t>
      </w:r>
      <w:r>
        <w:rPr>
          <w:rFonts w:ascii="Times New Roman" w:eastAsiaTheme="majorHAnsi" w:hAnsi="Times New Roman" w:cs="Times New Roman"/>
          <w:color w:val="000000" w:themeColor="text1"/>
        </w:rPr>
        <w:t>vector + miR-30b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and HCT8-circIFNGR2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+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miR-30b(left) and between CACO2-vector, CACO2-circIFNGR2 groups,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CACO2-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vector + miR-30b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and CACO2-circIFNGR2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+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miR-30b(right).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b.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Wound healing assay results showing the differences in migration capacities in the indicated cells at </w:t>
      </w:r>
      <w:r>
        <w:rPr>
          <w:rFonts w:ascii="Times New Roman" w:eastAsiaTheme="majorHAnsi" w:hAnsi="Times New Roman" w:cs="Times New Roman"/>
          <w:color w:val="000000" w:themeColor="text1"/>
        </w:rPr>
        <w:t>3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regular intervals.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c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. 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The apoptosis assay conducted by flow </w:t>
      </w:r>
      <w:proofErr w:type="spellStart"/>
      <w:r>
        <w:rPr>
          <w:rFonts w:ascii="Times New Roman" w:eastAsiaTheme="majorHAnsi" w:hAnsi="Times New Roman" w:cs="Times New Roman" w:hint="eastAsia"/>
          <w:color w:val="000000" w:themeColor="text1"/>
        </w:rPr>
        <w:t>cytometry</w:t>
      </w:r>
      <w:proofErr w:type="spellEnd"/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in the indicated group. Flow </w:t>
      </w:r>
      <w:proofErr w:type="spellStart"/>
      <w:r>
        <w:rPr>
          <w:rFonts w:ascii="Times New Roman" w:eastAsiaTheme="majorHAnsi" w:hAnsi="Times New Roman" w:cs="Times New Roman" w:hint="eastAsia"/>
          <w:color w:val="000000" w:themeColor="text1"/>
        </w:rPr>
        <w:t>cytometry</w:t>
      </w:r>
      <w:proofErr w:type="spellEnd"/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analyses of HCT8 cells and CACO2 treated with 1.0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μ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M </w:t>
      </w:r>
      <w:proofErr w:type="spellStart"/>
      <w:r>
        <w:rPr>
          <w:rFonts w:ascii="Times New Roman" w:eastAsiaTheme="majorHAnsi" w:hAnsi="Times New Roman" w:cs="Times New Roman" w:hint="eastAsia"/>
          <w:color w:val="000000" w:themeColor="text1"/>
        </w:rPr>
        <w:t>cetuximab</w:t>
      </w:r>
      <w:proofErr w:type="spellEnd"/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for 24 h.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b/>
          <w:bCs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 xml:space="preserve">FigS3. circIFNGR2 induces </w:t>
      </w:r>
      <w:proofErr w:type="spellStart"/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cetuximab</w:t>
      </w:r>
      <w:proofErr w:type="spellEnd"/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 xml:space="preserve"> therapeutic resistance in CRC cells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a.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Western blot analysis of KRAS in the indicated plasmid-infected cells.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lastRenderedPageBreak/>
        <w:t>b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>.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CCK8 assay comparing the effects of circIFNGR2 on cell growth between the HCT8-0ug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+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DMSO,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HCT8-0ug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+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CTX,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HCT8-3ug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+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DMSO,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HCT8-3ug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+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CTX,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HCT8-6ug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+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DMSO and HCT8-6ug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+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CTX.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c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. 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The apoptosis assay conducted by flow </w:t>
      </w:r>
      <w:proofErr w:type="spellStart"/>
      <w:r>
        <w:rPr>
          <w:rFonts w:ascii="Times New Roman" w:eastAsiaTheme="majorHAnsi" w:hAnsi="Times New Roman" w:cs="Times New Roman" w:hint="eastAsia"/>
          <w:color w:val="000000" w:themeColor="text1"/>
        </w:rPr>
        <w:t>cytometry</w:t>
      </w:r>
      <w:proofErr w:type="spellEnd"/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in the indicated group. Flow </w:t>
      </w:r>
      <w:proofErr w:type="spellStart"/>
      <w:r>
        <w:rPr>
          <w:rFonts w:ascii="Times New Roman" w:eastAsiaTheme="majorHAnsi" w:hAnsi="Times New Roman" w:cs="Times New Roman" w:hint="eastAsia"/>
          <w:color w:val="000000" w:themeColor="text1"/>
        </w:rPr>
        <w:t>cytometry</w:t>
      </w:r>
      <w:proofErr w:type="spellEnd"/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analyses of HCT8 cells treated with 1.0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μ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M </w:t>
      </w:r>
      <w:proofErr w:type="spellStart"/>
      <w:r>
        <w:rPr>
          <w:rFonts w:ascii="Times New Roman" w:eastAsiaTheme="majorHAnsi" w:hAnsi="Times New Roman" w:cs="Times New Roman"/>
          <w:color w:val="000000" w:themeColor="text1"/>
        </w:rPr>
        <w:t>c</w:t>
      </w:r>
      <w:r>
        <w:rPr>
          <w:rFonts w:ascii="Times New Roman" w:eastAsiaTheme="majorHAnsi" w:hAnsi="Times New Roman" w:cs="Times New Roman" w:hint="eastAsia"/>
          <w:color w:val="000000" w:themeColor="text1"/>
        </w:rPr>
        <w:t>etuximab</w:t>
      </w:r>
      <w:proofErr w:type="spellEnd"/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for 24 h.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d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. 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Statistical analysis of the clinical correlation between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circIFNGR2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expression and resistance to </w:t>
      </w:r>
      <w:proofErr w:type="spellStart"/>
      <w:r>
        <w:rPr>
          <w:rFonts w:ascii="Times New Roman" w:eastAsiaTheme="majorHAnsi" w:hAnsi="Times New Roman" w:cs="Times New Roman"/>
          <w:color w:val="000000" w:themeColor="text1"/>
        </w:rPr>
        <w:t>c</w:t>
      </w:r>
      <w:r>
        <w:rPr>
          <w:rFonts w:ascii="Times New Roman" w:eastAsiaTheme="majorHAnsi" w:hAnsi="Times New Roman" w:cs="Times New Roman" w:hint="eastAsia"/>
          <w:color w:val="000000" w:themeColor="text1"/>
        </w:rPr>
        <w:t>etuximab</w:t>
      </w:r>
      <w:proofErr w:type="spellEnd"/>
      <w:r>
        <w:rPr>
          <w:rFonts w:ascii="Times New Roman" w:eastAsiaTheme="majorHAnsi" w:hAnsi="Times New Roman" w:cs="Times New Roman"/>
          <w:color w:val="000000" w:themeColor="text1"/>
        </w:rPr>
        <w:t xml:space="preserve"> of patients from </w:t>
      </w:r>
      <w:proofErr w:type="spellStart"/>
      <w:r>
        <w:rPr>
          <w:rFonts w:ascii="Times New Roman" w:eastAsiaTheme="majorHAnsi" w:hAnsi="Times New Roman" w:cs="Times New Roman" w:hint="eastAsia"/>
          <w:color w:val="000000" w:themeColor="text1"/>
        </w:rPr>
        <w:t>Nanfang</w:t>
      </w:r>
      <w:proofErr w:type="spellEnd"/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Hospital</w:t>
      </w:r>
      <w:r>
        <w:rPr>
          <w:rFonts w:ascii="Times New Roman" w:eastAsiaTheme="majorHAnsi" w:hAnsi="Times New Roman" w:cs="Times New Roman"/>
          <w:color w:val="000000" w:themeColor="text1"/>
        </w:rPr>
        <w:t>, Guangzhou, Guangdong, China.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b/>
          <w:bCs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FigS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4. The relation between </w:t>
      </w: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circIFNGR2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 and MUT-KRAS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b/>
          <w:bCs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a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. </w:t>
      </w:r>
      <w:r>
        <w:rPr>
          <w:rFonts w:ascii="Times New Roman" w:eastAsiaTheme="majorHAnsi" w:hAnsi="Times New Roman" w:cs="Times New Roman"/>
          <w:color w:val="000000" w:themeColor="text1"/>
        </w:rPr>
        <w:t>RT-</w:t>
      </w:r>
      <w:proofErr w:type="spellStart"/>
      <w:r>
        <w:rPr>
          <w:rFonts w:ascii="Times New Roman" w:eastAsiaTheme="majorHAnsi" w:hAnsi="Times New Roman" w:cs="Times New Roman"/>
          <w:color w:val="000000" w:themeColor="text1"/>
        </w:rPr>
        <w:t>qPCR</w:t>
      </w:r>
      <w:proofErr w:type="spellEnd"/>
      <w:r>
        <w:rPr>
          <w:rFonts w:ascii="Times New Roman" w:eastAsiaTheme="majorHAnsi" w:hAnsi="Times New Roman" w:cs="Times New Roman"/>
          <w:color w:val="000000" w:themeColor="text1"/>
        </w:rPr>
        <w:t xml:space="preserve"> of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circIFNGR2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in 65 paired human CRC tissues and the matched adjacent normal tissues.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b/>
          <w:bCs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b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. 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The comparison of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circIFNGR2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expression level between KRAS wild type and KRAS mutant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/>
          <w:color w:val="000000" w:themeColor="text1"/>
        </w:rPr>
        <w:t>CRC tissues.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c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. 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Kaplan–Meier survival analysis of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circIFNGR2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in the MUT-KRAS</w:t>
      </w:r>
      <w:r>
        <w:rPr>
          <w:rFonts w:ascii="Times New Roman" w:eastAsiaTheme="majorHAnsi" w:hAnsi="Times New Roman" w:cs="Times New Roman" w:hint="eastAsia"/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/>
          <w:color w:val="000000" w:themeColor="text1"/>
        </w:rPr>
        <w:t>CRC patients.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d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>.</w:t>
      </w:r>
      <w:r>
        <w:rPr>
          <w:color w:val="000000" w:themeColor="text1"/>
        </w:rPr>
        <w:t xml:space="preserve"> 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The transfection efficiency of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circIFNGR2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 (named as </w:t>
      </w:r>
      <w:r>
        <w:rPr>
          <w:rFonts w:ascii="Times New Roman" w:eastAsiaTheme="majorHAnsi" w:hAnsi="Times New Roman" w:cs="Times New Roman" w:hint="eastAsia"/>
          <w:color w:val="000000" w:themeColor="text1"/>
        </w:rPr>
        <w:t>circIFNGR2</w:t>
      </w:r>
      <w:r>
        <w:rPr>
          <w:rFonts w:ascii="Times New Roman" w:eastAsiaTheme="majorHAnsi" w:hAnsi="Times New Roman" w:cs="Times New Roman"/>
          <w:color w:val="000000" w:themeColor="text1"/>
        </w:rPr>
        <w:t>) in SW480 and HCT116 cells was analyzed by RT-</w:t>
      </w:r>
      <w:proofErr w:type="spellStart"/>
      <w:r>
        <w:rPr>
          <w:rFonts w:ascii="Times New Roman" w:eastAsiaTheme="majorHAnsi" w:hAnsi="Times New Roman" w:cs="Times New Roman"/>
          <w:color w:val="000000" w:themeColor="text1"/>
        </w:rPr>
        <w:t>qPCR</w:t>
      </w:r>
      <w:proofErr w:type="spellEnd"/>
      <w:r>
        <w:rPr>
          <w:rFonts w:ascii="Times New Roman" w:eastAsiaTheme="majorHAnsi" w:hAnsi="Times New Roman" w:cs="Times New Roman"/>
          <w:color w:val="000000" w:themeColor="text1"/>
        </w:rPr>
        <w:t>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b/>
          <w:bCs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e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. </w:t>
      </w:r>
      <w:r>
        <w:rPr>
          <w:rFonts w:ascii="Times New Roman" w:eastAsiaTheme="majorHAnsi" w:hAnsi="Times New Roman" w:cs="Times New Roman"/>
          <w:color w:val="000000" w:themeColor="text1"/>
        </w:rPr>
        <w:t>Western blotting was performed to determine the protein expression of MUT-KRAS in the indicated cells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b/>
          <w:bCs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f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. </w:t>
      </w:r>
      <w:r>
        <w:rPr>
          <w:rFonts w:ascii="Times New Roman" w:eastAsiaTheme="majorHAnsi" w:hAnsi="Times New Roman" w:cs="Times New Roman"/>
          <w:color w:val="000000" w:themeColor="text1"/>
        </w:rPr>
        <w:t>CCK8 assay revealed the cell growth ability of the indicated cells.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b/>
          <w:bCs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g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. </w:t>
      </w:r>
      <w:r>
        <w:rPr>
          <w:rFonts w:ascii="Times New Roman" w:eastAsiaTheme="majorHAnsi" w:hAnsi="Times New Roman" w:cs="Times New Roman"/>
          <w:color w:val="000000" w:themeColor="text1"/>
        </w:rPr>
        <w:t xml:space="preserve">The </w:t>
      </w:r>
      <w:proofErr w:type="spellStart"/>
      <w:r>
        <w:rPr>
          <w:rFonts w:ascii="Times New Roman" w:eastAsiaTheme="majorHAnsi" w:hAnsi="Times New Roman" w:cs="Times New Roman"/>
          <w:color w:val="000000" w:themeColor="text1"/>
        </w:rPr>
        <w:t>transwell</w:t>
      </w:r>
      <w:proofErr w:type="spellEnd"/>
      <w:r>
        <w:rPr>
          <w:rFonts w:ascii="Times New Roman" w:eastAsiaTheme="majorHAnsi" w:hAnsi="Times New Roman" w:cs="Times New Roman"/>
          <w:color w:val="000000" w:themeColor="text1"/>
        </w:rPr>
        <w:t xml:space="preserve"> chamber assay detected the migration ability of the indicated cells.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h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. </w:t>
      </w:r>
      <w:r>
        <w:rPr>
          <w:rFonts w:ascii="Times New Roman" w:eastAsiaTheme="majorHAnsi" w:hAnsi="Times New Roman" w:cs="Times New Roman"/>
          <w:color w:val="000000" w:themeColor="text1"/>
        </w:rPr>
        <w:t>Colony formation assay confirmed the proliferation ability of the indicated cells.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FigS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5. The relation between </w:t>
      </w:r>
      <w:r>
        <w:rPr>
          <w:rFonts w:ascii="Times New Roman" w:eastAsiaTheme="majorHAnsi" w:hAnsi="Times New Roman" w:cs="Times New Roman" w:hint="eastAsia"/>
          <w:b/>
          <w:bCs/>
          <w:color w:val="000000" w:themeColor="text1"/>
        </w:rPr>
        <w:t>circIFNGR2</w:t>
      </w: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 and KRAS including WT-KRAS and MUT-KRAS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b/>
          <w:bCs/>
          <w:color w:val="000000" w:themeColor="text1"/>
        </w:rPr>
      </w:pP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a, b. </w:t>
      </w:r>
      <w:r>
        <w:rPr>
          <w:rFonts w:ascii="Times New Roman" w:eastAsiaTheme="majorHAnsi" w:hAnsi="Times New Roman" w:cs="Times New Roman"/>
          <w:color w:val="000000" w:themeColor="text1"/>
        </w:rPr>
        <w:t>Relative expression of KRAS in the indicated cells.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b/>
          <w:bCs/>
          <w:color w:val="000000" w:themeColor="text1"/>
        </w:rPr>
      </w:pPr>
      <w:r>
        <w:rPr>
          <w:rFonts w:ascii="Times New Roman" w:eastAsiaTheme="majorHAnsi" w:hAnsi="Times New Roman" w:cs="Times New Roman"/>
          <w:b/>
          <w:bCs/>
          <w:color w:val="000000" w:themeColor="text1"/>
        </w:rPr>
        <w:t xml:space="preserve">c, d. </w:t>
      </w:r>
      <w:r>
        <w:rPr>
          <w:rFonts w:ascii="Times New Roman" w:eastAsiaTheme="majorHAnsi" w:hAnsi="Times New Roman" w:cs="Times New Roman"/>
          <w:color w:val="000000" w:themeColor="text1"/>
        </w:rPr>
        <w:t>Relative protein expression of KRAS and its downstream proteins in the indicated cells</w:t>
      </w:r>
      <w:r>
        <w:rPr>
          <w:rFonts w:ascii="Times New Roman" w:eastAsiaTheme="majorHAnsi" w:hAnsi="Times New Roman" w:cs="Times New Roman" w:hint="eastAsia"/>
          <w:color w:val="000000" w:themeColor="text1"/>
        </w:rPr>
        <w:t>.</w:t>
      </w: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</w:p>
    <w:p w:rsidR="005D605C" w:rsidRDefault="005D605C" w:rsidP="005D605C">
      <w:pPr>
        <w:autoSpaceDE w:val="0"/>
        <w:autoSpaceDN w:val="0"/>
        <w:adjustRightInd w:val="0"/>
        <w:spacing w:line="480" w:lineRule="auto"/>
        <w:jc w:val="left"/>
        <w:rPr>
          <w:rFonts w:ascii="Times New Roman" w:eastAsiaTheme="majorHAnsi" w:hAnsi="Times New Roman" w:cs="Times New Roman"/>
          <w:color w:val="000000" w:themeColor="text1"/>
        </w:rPr>
      </w:pPr>
    </w:p>
    <w:p w:rsidR="005D605C" w:rsidRDefault="005D605C">
      <w:bookmarkStart w:id="0" w:name="_GoBack"/>
      <w:bookmarkEnd w:id="0"/>
    </w:p>
    <w:sectPr w:rsidR="005D6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8C96F"/>
    <w:multiLevelType w:val="singleLevel"/>
    <w:tmpl w:val="1CE8C96F"/>
    <w:lvl w:ilvl="0">
      <w:start w:val="1"/>
      <w:numFmt w:val="lowerLetter"/>
      <w:suff w:val="space"/>
      <w:lvlText w:val="%1."/>
      <w:lvlJc w:val="left"/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05C"/>
    <w:rsid w:val="005D605C"/>
    <w:rsid w:val="00B64C35"/>
    <w:rsid w:val="00CE5805"/>
    <w:rsid w:val="00E8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05C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05C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rdcuser3</dc:creator>
  <cp:lastModifiedBy>rdcuser3</cp:lastModifiedBy>
  <cp:revision>1</cp:revision>
  <dcterms:created xsi:type="dcterms:W3CDTF">2022-12-21T14:17:00Z</dcterms:created>
  <dcterms:modified xsi:type="dcterms:W3CDTF">2022-12-21T14:18:00Z</dcterms:modified>
</cp:coreProperties>
</file>