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Lines w:val="0"/>
        <w:spacing w:after="0" w:before="120" w:line="240" w:lineRule="auto"/>
        <w:jc w:val="center"/>
        <w:rPr>
          <w:rFonts w:ascii="Helvetica Neue" w:cs="Helvetica Neue" w:eastAsia="Helvetica Neue" w:hAnsi="Helvetica Neue"/>
        </w:rPr>
      </w:pPr>
      <w:bookmarkStart w:colFirst="0" w:colLast="0" w:name="_heading=h.gjdgxs" w:id="0"/>
      <w:bookmarkEnd w:id="0"/>
      <w:r w:rsidDel="00000000" w:rsidR="00000000" w:rsidRPr="00000000">
        <w:rPr>
          <w:rFonts w:ascii="Helvetica Neue" w:cs="Helvetica Neue" w:eastAsia="Helvetica Neue" w:hAnsi="Helvetica Neue"/>
          <w:rtl w:val="0"/>
        </w:rPr>
        <w:t xml:space="preserve">Supplemental figures</w:t>
      </w:r>
    </w:p>
    <w:p w:rsidR="00000000" w:rsidDel="00000000" w:rsidP="00000000" w:rsidRDefault="00000000" w:rsidRPr="00000000" w14:paraId="00000002">
      <w:pPr>
        <w:spacing w:line="240" w:lineRule="auto"/>
        <w:ind w:left="-141.73228346456688" w:right="526.0629921259857" w:firstLine="0"/>
        <w:jc w:val="left"/>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3">
      <w:pPr>
        <w:spacing w:line="240" w:lineRule="auto"/>
        <w:ind w:left="-141.73228346456688" w:right="526.0629921259857" w:firstLine="0"/>
        <w:jc w:val="center"/>
        <w:rPr>
          <w:rFonts w:ascii="Helvetica Neue" w:cs="Helvetica Neue" w:eastAsia="Helvetica Neue" w:hAnsi="Helvetica Neue"/>
          <w:b w:val="1"/>
          <w:sz w:val="26"/>
          <w:szCs w:val="26"/>
        </w:rPr>
      </w:pPr>
      <w:r w:rsidDel="00000000" w:rsidR="00000000" w:rsidRPr="00000000">
        <w:rPr>
          <w:rFonts w:ascii="Helvetica Neue" w:cs="Helvetica Neue" w:eastAsia="Helvetica Neue" w:hAnsi="Helvetica Neue"/>
          <w:b w:val="1"/>
          <w:sz w:val="26"/>
          <w:szCs w:val="26"/>
          <w:rtl w:val="0"/>
        </w:rPr>
        <w:t xml:space="preserve">SIRT6 is a key regulator of mitochondrial function in the brain.</w:t>
      </w:r>
    </w:p>
    <w:p w:rsidR="00000000" w:rsidDel="00000000" w:rsidP="00000000" w:rsidRDefault="00000000" w:rsidRPr="00000000" w14:paraId="00000004">
      <w:pPr>
        <w:spacing w:line="240" w:lineRule="auto"/>
        <w:ind w:left="-141.73228346456688" w:right="526.0629921259857" w:firstLine="0"/>
        <w:jc w:val="left"/>
        <w:rPr>
          <w:rFonts w:ascii="Helvetica Neue" w:cs="Helvetica Neue" w:eastAsia="Helvetica Neue" w:hAnsi="Helvetica Neue"/>
          <w:sz w:val="26"/>
          <w:szCs w:val="26"/>
        </w:rPr>
      </w:pPr>
      <w:r w:rsidDel="00000000" w:rsidR="00000000" w:rsidRPr="00000000">
        <w:rPr>
          <w:rtl w:val="0"/>
        </w:rPr>
      </w:r>
    </w:p>
    <w:p w:rsidR="00000000" w:rsidDel="00000000" w:rsidP="00000000" w:rsidRDefault="00000000" w:rsidRPr="00000000" w14:paraId="00000005">
      <w:pPr>
        <w:spacing w:line="240" w:lineRule="auto"/>
        <w:ind w:left="-283.46456692913375" w:firstLine="0"/>
        <w:rPr>
          <w:rFonts w:ascii="Helvetica Neue" w:cs="Helvetica Neue" w:eastAsia="Helvetica Neue" w:hAnsi="Helvetica Neue"/>
          <w:sz w:val="26"/>
          <w:szCs w:val="26"/>
        </w:rPr>
      </w:pPr>
      <w:r w:rsidDel="00000000" w:rsidR="00000000" w:rsidRPr="00000000">
        <w:rPr>
          <w:rFonts w:ascii="Helvetica Neue" w:cs="Helvetica Neue" w:eastAsia="Helvetica Neue" w:hAnsi="Helvetica Neue"/>
          <w:rtl w:val="0"/>
        </w:rPr>
        <w:t xml:space="preserve">Dmitrii Smirnov, Ekaterina Eremenko, Daniel Stein, Shai Kaluski, Weronika Jasinska,  Claudia Consetino, Barbara Martinez-Pastor, Yariv Brotman, Raul Mostoslavsky, Ekaterina Khrameeva and Debra Toiber</w:t>
      </w:r>
      <w:r w:rsidDel="00000000" w:rsidR="00000000" w:rsidRPr="00000000">
        <w:rPr>
          <w:rtl w:val="0"/>
        </w:rPr>
      </w:r>
    </w:p>
    <w:p w:rsidR="00000000" w:rsidDel="00000000" w:rsidP="00000000" w:rsidRDefault="00000000" w:rsidRPr="00000000" w14:paraId="00000006">
      <w:pP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7">
      <w:pPr>
        <w:jc w:val="both"/>
        <w:rPr>
          <w:rFonts w:ascii="Helvetica Neue" w:cs="Helvetica Neue" w:eastAsia="Helvetica Neue" w:hAnsi="Helvetica Neue"/>
          <w:color w:val="b00004"/>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08">
      <w:pPr>
        <w:jc w:val="both"/>
        <w:rPr>
          <w:rFonts w:ascii="Helvetica Neue" w:cs="Helvetica Neue" w:eastAsia="Helvetica Neue" w:hAnsi="Helvetica Neue"/>
          <w:color w:val="b00004"/>
          <w:sz w:val="20"/>
          <w:szCs w:val="20"/>
        </w:rPr>
      </w:pPr>
      <w:r w:rsidDel="00000000" w:rsidR="00000000" w:rsidRPr="00000000">
        <w:rPr>
          <w:rtl w:val="0"/>
        </w:rPr>
      </w:r>
    </w:p>
    <w:p w:rsidR="00000000" w:rsidDel="00000000" w:rsidP="00000000" w:rsidRDefault="00000000" w:rsidRPr="00000000" w14:paraId="00000009">
      <w:pPr>
        <w:jc w:val="both"/>
        <w:rPr>
          <w:rFonts w:ascii="Helvetica Neue" w:cs="Helvetica Neue" w:eastAsia="Helvetica Neue" w:hAnsi="Helvetica Neue"/>
          <w:color w:val="b00004"/>
          <w:sz w:val="20"/>
          <w:szCs w:val="20"/>
        </w:rPr>
      </w:pPr>
      <w:r w:rsidDel="00000000" w:rsidR="00000000" w:rsidRPr="00000000">
        <w:rPr>
          <w:rFonts w:ascii="Helvetica Neue" w:cs="Helvetica Neue" w:eastAsia="Helvetica Neue" w:hAnsi="Helvetica Neue"/>
          <w:color w:val="b00004"/>
          <w:sz w:val="20"/>
          <w:szCs w:val="20"/>
        </w:rPr>
        <w:drawing>
          <wp:inline distB="114300" distT="114300" distL="114300" distR="114300">
            <wp:extent cx="5731200" cy="7162800"/>
            <wp:effectExtent b="0" l="0" r="0" t="0"/>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1200" cy="71628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jc w:val="both"/>
        <w:rPr>
          <w:rFonts w:ascii="Helvetica Neue" w:cs="Helvetica Neue" w:eastAsia="Helvetica Neue" w:hAnsi="Helvetica Neue"/>
          <w:b w:val="1"/>
          <w:color w:val="b00004"/>
          <w:sz w:val="20"/>
          <w:szCs w:val="20"/>
        </w:rPr>
      </w:pPr>
      <w:r w:rsidDel="00000000" w:rsidR="00000000" w:rsidRPr="00000000">
        <w:rPr>
          <w:rFonts w:ascii="Helvetica Neue" w:cs="Helvetica Neue" w:eastAsia="Helvetica Neue" w:hAnsi="Helvetica Neue"/>
          <w:b w:val="1"/>
          <w:sz w:val="20"/>
          <w:szCs w:val="20"/>
          <w:rtl w:val="0"/>
        </w:rPr>
        <w:t xml:space="preserve">Supplementary figure 1: Analysis of W.T. and brSIRT6-KO gene expression data (related to Fig. 1). (a)</w:t>
      </w:r>
      <w:r w:rsidDel="00000000" w:rsidR="00000000" w:rsidRPr="00000000">
        <w:rPr>
          <w:rFonts w:ascii="Helvetica Neue" w:cs="Helvetica Neue" w:eastAsia="Helvetica Neue" w:hAnsi="Helvetica Neue"/>
          <w:sz w:val="20"/>
          <w:szCs w:val="20"/>
          <w:rtl w:val="0"/>
        </w:rPr>
        <w:t xml:space="preserve"> Heatmap illustrating Pearson’s correlation between experimental samples. </w:t>
      </w:r>
      <w:r w:rsidDel="00000000" w:rsidR="00000000" w:rsidRPr="00000000">
        <w:rPr>
          <w:rFonts w:ascii="Helvetica Neue" w:cs="Helvetica Neue" w:eastAsia="Helvetica Neue" w:hAnsi="Helvetica Neue"/>
          <w:b w:val="1"/>
          <w:sz w:val="20"/>
          <w:szCs w:val="20"/>
          <w:rtl w:val="0"/>
        </w:rPr>
        <w:t xml:space="preserve">(b) </w:t>
      </w:r>
      <w:r w:rsidDel="00000000" w:rsidR="00000000" w:rsidRPr="00000000">
        <w:rPr>
          <w:rFonts w:ascii="Helvetica Neue" w:cs="Helvetica Neue" w:eastAsia="Helvetica Neue" w:hAnsi="Helvetica Neue"/>
          <w:sz w:val="20"/>
          <w:szCs w:val="20"/>
          <w:rtl w:val="0"/>
        </w:rPr>
        <w:t xml:space="preserve">Pie plot representing proportion of biotype annotations among DE genes. ‘IG C gene’ annotation denotes constant chain immunoglobulin genes, ‘TEC’ annotation describes predicted genes that require experimental validation.</w:t>
      </w:r>
      <w:r w:rsidDel="00000000" w:rsidR="00000000" w:rsidRPr="00000000">
        <w:rPr>
          <w:rFonts w:ascii="Helvetica Neue" w:cs="Helvetica Neue" w:eastAsia="Helvetica Neue" w:hAnsi="Helvetica Neue"/>
          <w:b w:val="1"/>
          <w:sz w:val="20"/>
          <w:szCs w:val="20"/>
          <w:rtl w:val="0"/>
        </w:rPr>
        <w:t xml:space="preserve"> (c) </w:t>
      </w:r>
      <w:r w:rsidDel="00000000" w:rsidR="00000000" w:rsidRPr="00000000">
        <w:rPr>
          <w:rFonts w:ascii="Helvetica Neue" w:cs="Helvetica Neue" w:eastAsia="Helvetica Neue" w:hAnsi="Helvetica Neue"/>
          <w:sz w:val="20"/>
          <w:szCs w:val="20"/>
          <w:rtl w:val="0"/>
        </w:rPr>
        <w:t xml:space="preserve">Boxplots of</w:t>
      </w:r>
      <w:r w:rsidDel="00000000" w:rsidR="00000000" w:rsidRPr="00000000">
        <w:rPr>
          <w:rFonts w:ascii="Helvetica Neue" w:cs="Helvetica Neue" w:eastAsia="Helvetica Neue" w:hAnsi="Helvetica Neue"/>
          <w:b w:val="1"/>
          <w:sz w:val="20"/>
          <w:szCs w:val="20"/>
          <w:rtl w:val="0"/>
        </w:rPr>
        <w:t xml:space="preserve"> </w:t>
      </w:r>
      <w:r w:rsidDel="00000000" w:rsidR="00000000" w:rsidRPr="00000000">
        <w:rPr>
          <w:rFonts w:ascii="Helvetica Neue" w:cs="Helvetica Neue" w:eastAsia="Helvetica Neue" w:hAnsi="Helvetica Neue"/>
          <w:sz w:val="20"/>
          <w:szCs w:val="20"/>
          <w:rtl w:val="0"/>
        </w:rPr>
        <w:t xml:space="preserve">the top 5 most differentially expressed genes in the analysis. Expression of WT samples are shown by orange points and expression of brSIRT6 are shown by brown points. </w:t>
      </w:r>
      <w:r w:rsidDel="00000000" w:rsidR="00000000" w:rsidRPr="00000000">
        <w:rPr>
          <w:rFonts w:ascii="Helvetica Neue" w:cs="Helvetica Neue" w:eastAsia="Helvetica Neue" w:hAnsi="Helvetica Neue"/>
          <w:b w:val="1"/>
          <w:sz w:val="20"/>
          <w:szCs w:val="20"/>
          <w:rtl w:val="0"/>
        </w:rPr>
        <w:t xml:space="preserve">(d)</w:t>
      </w:r>
      <w:r w:rsidDel="00000000" w:rsidR="00000000" w:rsidRPr="00000000">
        <w:rPr>
          <w:rFonts w:ascii="Helvetica Neue" w:cs="Helvetica Neue" w:eastAsia="Helvetica Neue" w:hAnsi="Helvetica Neue"/>
          <w:b w:val="1"/>
          <w:color w:val="b00004"/>
          <w:sz w:val="20"/>
          <w:szCs w:val="20"/>
          <w:rtl w:val="0"/>
        </w:rPr>
        <w:t xml:space="preserve"> </w:t>
      </w:r>
      <w:r w:rsidDel="00000000" w:rsidR="00000000" w:rsidRPr="00000000">
        <w:rPr>
          <w:rFonts w:ascii="Helvetica Neue" w:cs="Helvetica Neue" w:eastAsia="Helvetica Neue" w:hAnsi="Helvetica Neue"/>
          <w:sz w:val="20"/>
          <w:szCs w:val="20"/>
          <w:rtl w:val="0"/>
        </w:rPr>
        <w:t xml:space="preserve">GO analysis showing top 10 enriched biological processes for upregulated genes. Each circle corresponds to the enriched GO term and varies in size according to the number of significant genes belonging to this term. Gene ratio represents the number of DE genes belonging to the enrichment categories divided by the total number of genes per category.</w:t>
      </w:r>
      <w:r w:rsidDel="00000000" w:rsidR="00000000" w:rsidRPr="00000000">
        <w:br w:type="page"/>
      </w:r>
      <w:r w:rsidDel="00000000" w:rsidR="00000000" w:rsidRPr="00000000">
        <w:rPr>
          <w:rtl w:val="0"/>
        </w:rPr>
      </w:r>
    </w:p>
    <w:p w:rsidR="00000000" w:rsidDel="00000000" w:rsidP="00000000" w:rsidRDefault="00000000" w:rsidRPr="00000000" w14:paraId="0000000B">
      <w:pPr>
        <w:jc w:val="both"/>
        <w:rPr>
          <w:rFonts w:ascii="Helvetica Neue" w:cs="Helvetica Neue" w:eastAsia="Helvetica Neue" w:hAnsi="Helvetica Neue"/>
          <w:color w:val="b00004"/>
          <w:sz w:val="20"/>
          <w:szCs w:val="20"/>
        </w:rPr>
      </w:pPr>
      <w:r w:rsidDel="00000000" w:rsidR="00000000" w:rsidRPr="00000000">
        <w:rPr>
          <w:rtl w:val="0"/>
        </w:rPr>
      </w:r>
    </w:p>
    <w:p w:rsidR="00000000" w:rsidDel="00000000" w:rsidP="00000000" w:rsidRDefault="00000000" w:rsidRPr="00000000" w14:paraId="0000000C">
      <w:pPr>
        <w:jc w:val="both"/>
        <w:rPr>
          <w:rFonts w:ascii="Helvetica Neue" w:cs="Helvetica Neue" w:eastAsia="Helvetica Neue" w:hAnsi="Helvetica Neue"/>
          <w:color w:val="b00004"/>
          <w:sz w:val="20"/>
          <w:szCs w:val="20"/>
        </w:rPr>
      </w:pPr>
      <w:r w:rsidDel="00000000" w:rsidR="00000000" w:rsidRPr="00000000">
        <w:rPr>
          <w:rFonts w:ascii="Helvetica Neue" w:cs="Helvetica Neue" w:eastAsia="Helvetica Neue" w:hAnsi="Helvetica Neue"/>
          <w:color w:val="b00004"/>
          <w:sz w:val="20"/>
          <w:szCs w:val="20"/>
        </w:rPr>
        <w:drawing>
          <wp:inline distB="114300" distT="114300" distL="114300" distR="114300">
            <wp:extent cx="5731200" cy="6235700"/>
            <wp:effectExtent b="0" l="0" r="0" t="0"/>
            <wp:docPr id="9"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731200" cy="62357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jc w:val="both"/>
        <w:rPr>
          <w:rFonts w:ascii="Helvetica Neue" w:cs="Helvetica Neue" w:eastAsia="Helvetica Neue" w:hAnsi="Helvetica Neue"/>
          <w:color w:val="b00004"/>
          <w:sz w:val="20"/>
          <w:szCs w:val="20"/>
        </w:rPr>
      </w:pPr>
      <w:r w:rsidDel="00000000" w:rsidR="00000000" w:rsidRPr="00000000">
        <w:rPr>
          <w:rFonts w:ascii="Helvetica Neue" w:cs="Helvetica Neue" w:eastAsia="Helvetica Neue" w:hAnsi="Helvetica Neue"/>
          <w:b w:val="1"/>
          <w:sz w:val="20"/>
          <w:szCs w:val="20"/>
          <w:rtl w:val="0"/>
        </w:rPr>
        <w:t xml:space="preserve">Supplementary figure 2: mESC metabolomics (related to Fig. 2). (a,b) </w:t>
      </w:r>
      <w:r w:rsidDel="00000000" w:rsidR="00000000" w:rsidRPr="00000000">
        <w:rPr>
          <w:rFonts w:ascii="Helvetica Neue" w:cs="Helvetica Neue" w:eastAsia="Helvetica Neue" w:hAnsi="Helvetica Neue"/>
          <w:sz w:val="20"/>
          <w:szCs w:val="20"/>
          <w:rtl w:val="0"/>
        </w:rPr>
        <w:t xml:space="preserve">Heatmaps showing abundances of the top 20 most significantly upregulated (panel a) and downregulated (panel b) in SIRT6-KO (brown) compared to WT (orange) metabolites. Row annotations on the left of the heatmaps represent log</w:t>
      </w:r>
      <w:r w:rsidDel="00000000" w:rsidR="00000000" w:rsidRPr="00000000">
        <w:rPr>
          <w:rFonts w:ascii="Helvetica Neue" w:cs="Helvetica Neue" w:eastAsia="Helvetica Neue" w:hAnsi="Helvetica Neue"/>
          <w:sz w:val="20"/>
          <w:szCs w:val="20"/>
          <w:vertAlign w:val="subscript"/>
          <w:rtl w:val="0"/>
        </w:rPr>
        <w:t xml:space="preserve">2</w:t>
      </w:r>
      <w:r w:rsidDel="00000000" w:rsidR="00000000" w:rsidRPr="00000000">
        <w:rPr>
          <w:rFonts w:ascii="Helvetica Neue" w:cs="Helvetica Neue" w:eastAsia="Helvetica Neue" w:hAnsi="Helvetica Neue"/>
          <w:sz w:val="20"/>
          <w:szCs w:val="20"/>
          <w:rtl w:val="0"/>
        </w:rPr>
        <w:t xml:space="preserve"> Fold Change values corresponding to the metabolites. Barplots on the right side of the heatmaps represent -log</w:t>
      </w:r>
      <w:r w:rsidDel="00000000" w:rsidR="00000000" w:rsidRPr="00000000">
        <w:rPr>
          <w:rFonts w:ascii="Helvetica Neue" w:cs="Helvetica Neue" w:eastAsia="Helvetica Neue" w:hAnsi="Helvetica Neue"/>
          <w:sz w:val="20"/>
          <w:szCs w:val="20"/>
          <w:vertAlign w:val="subscript"/>
          <w:rtl w:val="0"/>
        </w:rPr>
        <w:t xml:space="preserve">10</w:t>
      </w:r>
      <w:r w:rsidDel="00000000" w:rsidR="00000000" w:rsidRPr="00000000">
        <w:rPr>
          <w:rFonts w:ascii="Helvetica Neue" w:cs="Helvetica Neue" w:eastAsia="Helvetica Neue" w:hAnsi="Helvetica Neue"/>
          <w:sz w:val="20"/>
          <w:szCs w:val="20"/>
          <w:rtl w:val="0"/>
        </w:rPr>
        <w:t xml:space="preserve"> transformed FDR p-value of the metabolites.</w:t>
      </w:r>
      <w:r w:rsidDel="00000000" w:rsidR="00000000" w:rsidRPr="00000000">
        <w:rPr>
          <w:rtl w:val="0"/>
        </w:rPr>
      </w:r>
    </w:p>
    <w:p w:rsidR="00000000" w:rsidDel="00000000" w:rsidP="00000000" w:rsidRDefault="00000000" w:rsidRPr="00000000" w14:paraId="0000000E">
      <w:pPr>
        <w:jc w:val="both"/>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F">
      <w:pPr>
        <w:jc w:val="both"/>
        <w:rPr>
          <w:rFonts w:ascii="Helvetica Neue" w:cs="Helvetica Neue" w:eastAsia="Helvetica Neue" w:hAnsi="Helvetica Neue"/>
          <w:color w:val="b00004"/>
          <w:sz w:val="20"/>
          <w:szCs w:val="20"/>
        </w:rPr>
      </w:pPr>
      <w:r w:rsidDel="00000000" w:rsidR="00000000" w:rsidRPr="00000000">
        <w:rPr>
          <w:rFonts w:ascii="Helvetica Neue" w:cs="Helvetica Neue" w:eastAsia="Helvetica Neue" w:hAnsi="Helvetica Neue"/>
          <w:color w:val="b00004"/>
          <w:sz w:val="20"/>
          <w:szCs w:val="20"/>
          <w:rtl w:val="0"/>
        </w:rPr>
        <w:br w:type="textWrapping"/>
      </w:r>
    </w:p>
    <w:p w:rsidR="00000000" w:rsidDel="00000000" w:rsidP="00000000" w:rsidRDefault="00000000" w:rsidRPr="00000000" w14:paraId="00000010">
      <w:pPr>
        <w:jc w:val="both"/>
        <w:rPr>
          <w:rFonts w:ascii="Helvetica Neue" w:cs="Helvetica Neue" w:eastAsia="Helvetica Neue" w:hAnsi="Helvetica Neue"/>
          <w:color w:val="b00004"/>
          <w:sz w:val="20"/>
          <w:szCs w:val="20"/>
        </w:rPr>
      </w:pPr>
      <w:r w:rsidDel="00000000" w:rsidR="00000000" w:rsidRPr="00000000">
        <w:rPr>
          <w:rFonts w:ascii="Helvetica Neue" w:cs="Helvetica Neue" w:eastAsia="Helvetica Neue" w:hAnsi="Helvetica Neue"/>
          <w:color w:val="b00004"/>
          <w:sz w:val="20"/>
          <w:szCs w:val="20"/>
        </w:rPr>
        <w:drawing>
          <wp:inline distB="114300" distT="114300" distL="114300" distR="114300">
            <wp:extent cx="5731200" cy="4013200"/>
            <wp:effectExtent b="0" l="0" r="0" t="0"/>
            <wp:docPr id="8"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731200" cy="40132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jc w:val="both"/>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b w:val="1"/>
          <w:sz w:val="20"/>
          <w:szCs w:val="20"/>
          <w:rtl w:val="0"/>
        </w:rPr>
        <w:t xml:space="preserve">Supplementary figure 3: SIRT6 regulates OXPHOS-related genes (related to Fig. 3). (a)</w:t>
      </w:r>
      <w:r w:rsidDel="00000000" w:rsidR="00000000" w:rsidRPr="00000000">
        <w:rPr>
          <w:rFonts w:ascii="Helvetica Neue" w:cs="Helvetica Neue" w:eastAsia="Helvetica Neue" w:hAnsi="Helvetica Neue"/>
          <w:sz w:val="20"/>
          <w:szCs w:val="20"/>
          <w:rtl w:val="0"/>
        </w:rPr>
        <w:t xml:space="preserve"> Western blot analysis of total brain extracts from W.T. (n=8) and brSIRT6-KO brains (n=8). The total brain fraction was prepared as described in Materials and Methods. Membrane blots were incubated with antibodies against Cytochrome C, Tubulin and VDAC. </w:t>
      </w:r>
      <w:r w:rsidDel="00000000" w:rsidR="00000000" w:rsidRPr="00000000">
        <w:rPr>
          <w:rFonts w:ascii="Helvetica Neue" w:cs="Helvetica Neue" w:eastAsia="Helvetica Neue" w:hAnsi="Helvetica Neue"/>
          <w:b w:val="1"/>
          <w:sz w:val="20"/>
          <w:szCs w:val="20"/>
          <w:rtl w:val="0"/>
        </w:rPr>
        <w:t xml:space="preserve">(b)</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Helvetica Neue" w:cs="Helvetica Neue" w:eastAsia="Helvetica Neue" w:hAnsi="Helvetica Neue"/>
          <w:i w:val="1"/>
          <w:sz w:val="20"/>
          <w:szCs w:val="20"/>
          <w:rtl w:val="0"/>
        </w:rPr>
        <w:t xml:space="preserve">Vdac1</w:t>
      </w:r>
      <w:r w:rsidDel="00000000" w:rsidR="00000000" w:rsidRPr="00000000">
        <w:rPr>
          <w:rFonts w:ascii="Helvetica Neue" w:cs="Helvetica Neue" w:eastAsia="Helvetica Neue" w:hAnsi="Helvetica Neue"/>
          <w:sz w:val="20"/>
          <w:szCs w:val="20"/>
          <w:rtl w:val="0"/>
        </w:rPr>
        <w:t xml:space="preserve"> and </w:t>
      </w:r>
      <w:r w:rsidDel="00000000" w:rsidR="00000000" w:rsidRPr="00000000">
        <w:rPr>
          <w:rFonts w:ascii="Helvetica Neue" w:cs="Helvetica Neue" w:eastAsia="Helvetica Neue" w:hAnsi="Helvetica Neue"/>
          <w:i w:val="1"/>
          <w:sz w:val="20"/>
          <w:szCs w:val="20"/>
          <w:rtl w:val="0"/>
        </w:rPr>
        <w:t xml:space="preserve">Cycs</w:t>
      </w:r>
      <w:r w:rsidDel="00000000" w:rsidR="00000000" w:rsidRPr="00000000">
        <w:rPr>
          <w:rFonts w:ascii="Helvetica Neue" w:cs="Helvetica Neue" w:eastAsia="Helvetica Neue" w:hAnsi="Helvetica Neue"/>
          <w:sz w:val="20"/>
          <w:szCs w:val="20"/>
          <w:rtl w:val="0"/>
        </w:rPr>
        <w:t xml:space="preserve"> expression levels in W.T. and SIRT6-KO RNA-seq profiles. </w:t>
      </w:r>
      <w:r w:rsidDel="00000000" w:rsidR="00000000" w:rsidRPr="00000000">
        <w:rPr>
          <w:rFonts w:ascii="Helvetica Neue" w:cs="Helvetica Neue" w:eastAsia="Helvetica Neue" w:hAnsi="Helvetica Neue"/>
          <w:b w:val="1"/>
          <w:sz w:val="20"/>
          <w:szCs w:val="20"/>
          <w:rtl w:val="0"/>
        </w:rPr>
        <w:t xml:space="preserve">(c) </w:t>
      </w:r>
      <w:r w:rsidDel="00000000" w:rsidR="00000000" w:rsidRPr="00000000">
        <w:rPr>
          <w:rFonts w:ascii="Helvetica Neue" w:cs="Helvetica Neue" w:eastAsia="Helvetica Neue" w:hAnsi="Helvetica Neue"/>
          <w:sz w:val="20"/>
          <w:szCs w:val="20"/>
          <w:rtl w:val="0"/>
        </w:rPr>
        <w:t xml:space="preserve">The percentage of significant (blue bars) and insignificant (gray bars) genes across mitochondrial compartments. 'IMS' denotes intermembrane space, 'MIM' denotes mitochondrial inner membrane, and 'MOM' corresponds to the mitochondrial outer membrane.</w:t>
      </w:r>
      <w:r w:rsidDel="00000000" w:rsidR="00000000" w:rsidRPr="00000000">
        <w:rPr>
          <w:rFonts w:ascii="Helvetica Neue" w:cs="Helvetica Neue" w:eastAsia="Helvetica Neue" w:hAnsi="Helvetica Neue"/>
          <w:b w:val="1"/>
          <w:sz w:val="20"/>
          <w:szCs w:val="20"/>
          <w:rtl w:val="0"/>
        </w:rPr>
        <w:t xml:space="preserve"> (d) </w:t>
      </w:r>
      <w:r w:rsidDel="00000000" w:rsidR="00000000" w:rsidRPr="00000000">
        <w:rPr>
          <w:rFonts w:ascii="Helvetica Neue" w:cs="Helvetica Neue" w:eastAsia="Helvetica Neue" w:hAnsi="Helvetica Neue"/>
          <w:sz w:val="20"/>
          <w:szCs w:val="20"/>
          <w:rtl w:val="0"/>
        </w:rPr>
        <w:t xml:space="preserve">Spearman’s correlation value distributions for SIRT6 with OXPHOS-related (brown shapes) and other mitochondria-related genes (blue shapes) in the Allen Brain Atlas RNA-seq datasets of two donors (H0351.2001, H0351.2002). Brown and blue dashed lines correspond to medians of correlation distributions for OXPHOS and non-OXPHOS genes, respectively. Statistical significance for SIRT6 correlation with OXPHOS-related genes is calculated via permutation test. </w:t>
      </w:r>
      <w:r w:rsidDel="00000000" w:rsidR="00000000" w:rsidRPr="00000000">
        <w:rPr>
          <w:rtl w:val="0"/>
        </w:rPr>
      </w:r>
    </w:p>
    <w:p w:rsidR="00000000" w:rsidDel="00000000" w:rsidP="00000000" w:rsidRDefault="00000000" w:rsidRPr="00000000" w14:paraId="00000012">
      <w:pPr>
        <w:jc w:val="both"/>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Pr>
        <w:drawing>
          <wp:inline distB="114300" distT="114300" distL="114300" distR="114300">
            <wp:extent cx="5731200" cy="6019800"/>
            <wp:effectExtent b="0" l="0" r="0" t="0"/>
            <wp:docPr id="10"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731200" cy="60198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jc w:val="both"/>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b w:val="1"/>
          <w:sz w:val="20"/>
          <w:szCs w:val="20"/>
          <w:rtl w:val="0"/>
        </w:rPr>
        <w:t xml:space="preserve">Supplementary figure 4: Analysis of public YY1 and SIRT6 ChIP-seq datasets (related to Fig. 4).</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Helvetica Neue" w:cs="Helvetica Neue" w:eastAsia="Helvetica Neue" w:hAnsi="Helvetica Neue"/>
          <w:b w:val="1"/>
          <w:sz w:val="20"/>
          <w:szCs w:val="20"/>
          <w:rtl w:val="0"/>
        </w:rPr>
        <w:t xml:space="preserve">(a-b)</w:t>
      </w:r>
      <w:r w:rsidDel="00000000" w:rsidR="00000000" w:rsidRPr="00000000">
        <w:rPr>
          <w:rFonts w:ascii="Helvetica Neue" w:cs="Helvetica Neue" w:eastAsia="Helvetica Neue" w:hAnsi="Helvetica Neue"/>
          <w:sz w:val="20"/>
          <w:szCs w:val="20"/>
          <w:rtl w:val="0"/>
        </w:rPr>
        <w:t xml:space="preserve"> Top 10 significant cellular component terms from GO ontology analysis of genes associated with YY1 (panel a) and SIRT6 (panel b) peaks. Mitochondria-related cell compartments are marked by green. </w:t>
      </w:r>
      <w:r w:rsidDel="00000000" w:rsidR="00000000" w:rsidRPr="00000000">
        <w:rPr>
          <w:rFonts w:ascii="Helvetica Neue" w:cs="Helvetica Neue" w:eastAsia="Helvetica Neue" w:hAnsi="Helvetica Neue"/>
          <w:b w:val="1"/>
          <w:sz w:val="20"/>
          <w:szCs w:val="20"/>
          <w:rtl w:val="0"/>
        </w:rPr>
        <w:t xml:space="preserve">(c)</w:t>
      </w:r>
      <w:r w:rsidDel="00000000" w:rsidR="00000000" w:rsidRPr="00000000">
        <w:rPr>
          <w:rFonts w:ascii="Helvetica Neue" w:cs="Helvetica Neue" w:eastAsia="Helvetica Neue" w:hAnsi="Helvetica Neue"/>
          <w:sz w:val="20"/>
          <w:szCs w:val="20"/>
          <w:rtl w:val="0"/>
        </w:rPr>
        <w:t xml:space="preserve"> Barplot showing the expression change magnitudes of genes overlapped between all the datasets presented in Fig. 4d. Bars are colored according to the cellular function of corresponding genes. Black dashed denotes significance cut off for -log</w:t>
      </w:r>
      <w:r w:rsidDel="00000000" w:rsidR="00000000" w:rsidRPr="00000000">
        <w:rPr>
          <w:rFonts w:ascii="Helvetica Neue" w:cs="Helvetica Neue" w:eastAsia="Helvetica Neue" w:hAnsi="Helvetica Neue"/>
          <w:sz w:val="20"/>
          <w:szCs w:val="20"/>
          <w:vertAlign w:val="subscript"/>
          <w:rtl w:val="0"/>
        </w:rPr>
        <w:t xml:space="preserve">10</w:t>
      </w:r>
      <w:r w:rsidDel="00000000" w:rsidR="00000000" w:rsidRPr="00000000">
        <w:rPr>
          <w:rFonts w:ascii="Helvetica Neue" w:cs="Helvetica Neue" w:eastAsia="Helvetica Neue" w:hAnsi="Helvetica Neue"/>
          <w:sz w:val="20"/>
          <w:szCs w:val="20"/>
          <w:rtl w:val="0"/>
        </w:rPr>
        <w:t xml:space="preserve"> FDR p-value.</w:t>
      </w:r>
    </w:p>
    <w:p w:rsidR="00000000" w:rsidDel="00000000" w:rsidP="00000000" w:rsidRDefault="00000000" w:rsidRPr="00000000" w14:paraId="00000014">
      <w:pPr>
        <w:jc w:val="both"/>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5">
      <w:pPr>
        <w:jc w:val="both"/>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Pr>
        <w:drawing>
          <wp:inline distB="114300" distT="114300" distL="114300" distR="114300">
            <wp:extent cx="5731200" cy="4686300"/>
            <wp:effectExtent b="0" l="0" r="0" t="0"/>
            <wp:docPr id="6"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731200" cy="46863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jc w:val="both"/>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b w:val="1"/>
          <w:sz w:val="20"/>
          <w:szCs w:val="20"/>
          <w:rtl w:val="0"/>
        </w:rPr>
        <w:t xml:space="preserve">Supplementary figure 5: Full network of enriched KEGG pathways (related to Fig. 5). </w:t>
      </w:r>
      <w:r w:rsidDel="00000000" w:rsidR="00000000" w:rsidRPr="00000000">
        <w:rPr>
          <w:rFonts w:ascii="Helvetica Neue" w:cs="Helvetica Neue" w:eastAsia="Helvetica Neue" w:hAnsi="Helvetica Neue"/>
          <w:sz w:val="20"/>
          <w:szCs w:val="20"/>
          <w:rtl w:val="0"/>
        </w:rPr>
        <w:t xml:space="preserve">Each circle represents an enriched pathway in GSEA analysis and is colored according to the FDR p-value. The size of circles corresponds to the number of detected genes related to the particular pathway.</w:t>
      </w:r>
    </w:p>
    <w:p w:rsidR="00000000" w:rsidDel="00000000" w:rsidP="00000000" w:rsidRDefault="00000000" w:rsidRPr="00000000" w14:paraId="00000017">
      <w:pPr>
        <w:jc w:val="both"/>
        <w:rPr>
          <w:rFonts w:ascii="Helvetica Neue" w:cs="Helvetica Neue" w:eastAsia="Helvetica Neue" w:hAnsi="Helvetica Neue"/>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3.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qpr8uESRrc/E9E6QLScaIEIYHA==">AMUW2mUXIZtFVOVyhK6/ng4qpu+hvbSj23HlxOZVOflHBvi1zzdAbm7l5gHHYHJ48fXkQwe04DDpVQKbnAT9+Xaj8TyBunqNG7f2NITTychrJa0HwygvIR7C7b/VPKCU6Oa6gdszdsXe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