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Style w:val="9"/>
          <w:rFonts w:ascii="Times New Roman" w:hAnsi="Times New Roman" w:cs="Times New Roman"/>
        </w:rPr>
      </w:pPr>
      <w:r>
        <w:rPr>
          <w:rStyle w:val="9"/>
          <w:rFonts w:ascii="Times New Roman" w:hAnsi="Times New Roman" w:cs="Times New Roman"/>
        </w:rPr>
        <w:t>Supplementary Figure</w:t>
      </w:r>
      <w:r>
        <w:rPr>
          <w:rStyle w:val="9"/>
          <w:rFonts w:hint="eastAsia" w:ascii="Times New Roman" w:hAnsi="Times New Roman" w:cs="Times New Roman"/>
        </w:rPr>
        <w:t xml:space="preserve"> legends</w:t>
      </w:r>
    </w:p>
    <w:p>
      <w:pPr>
        <w:widowControl/>
        <w:spacing w:line="480" w:lineRule="auto"/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ascii="Times New Roman" w:hAnsi="Times New Roman"/>
          <w:b/>
          <w:sz w:val="24"/>
        </w:rPr>
        <w:t xml:space="preserve">Supplementary Figure </w:t>
      </w:r>
      <w:r>
        <w:rPr>
          <w:rFonts w:hint="eastAsia" w:ascii="Times New Roman" w:hAnsi="Times New Roman"/>
          <w:b/>
          <w:sz w:val="24"/>
        </w:rPr>
        <w:t>S</w:t>
      </w:r>
      <w:r>
        <w:rPr>
          <w:rFonts w:ascii="Times New Roman" w:hAnsi="Times New Roman" w:eastAsia="宋体"/>
          <w:b/>
          <w:kern w:val="0"/>
          <w:sz w:val="24"/>
        </w:rPr>
        <w:t>1.</w:t>
      </w:r>
      <w:r>
        <w:rPr>
          <w:rFonts w:hint="eastAsia" w:ascii="Times New Roman" w:hAnsi="Times New Roman" w:eastAsia="宋体"/>
          <w:b/>
          <w:kern w:val="0"/>
          <w:sz w:val="24"/>
          <w:lang w:val="en-US" w:eastAsia="zh-CN"/>
        </w:rPr>
        <w:t xml:space="preserve"> </w:t>
      </w:r>
      <w:r>
        <w:rPr>
          <w:rFonts w:hint="eastAsia" w:ascii="Times New Roman" w:hAnsi="Times New Roman" w:eastAsia="宋体"/>
          <w:b w:val="0"/>
          <w:bCs/>
          <w:kern w:val="0"/>
          <w:sz w:val="24"/>
          <w:lang w:val="en-US" w:eastAsia="zh-CN"/>
        </w:rPr>
        <w:t xml:space="preserve">(a) western blotting confirmed efficient METTL3 knockdown in </w:t>
      </w:r>
      <w:r>
        <w:rPr>
          <w:rFonts w:hint="eastAsia" w:ascii="Times New Roman" w:hAnsi="Times New Roman"/>
          <w:sz w:val="24"/>
          <w:highlight w:val="none"/>
          <w:lang w:val="en-US" w:eastAsia="zh-CN"/>
        </w:rPr>
        <w:t xml:space="preserve">normal pancreas ductal epithelial cells HPDE6-C7. (b) </w:t>
      </w:r>
      <w:r>
        <w:rPr>
          <w:rFonts w:hint="eastAsia" w:ascii="Times New Roman" w:hAnsi="Times New Roman" w:cs="Times New Roman"/>
          <w:sz w:val="24"/>
        </w:rPr>
        <w:t>CCK-8 assay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</w:rPr>
        <w:t xml:space="preserve">were used to determine the viability of </w:t>
      </w:r>
      <w:r>
        <w:rPr>
          <w:rFonts w:hint="eastAsia" w:ascii="Times New Roman" w:hAnsi="Times New Roman"/>
          <w:sz w:val="24"/>
          <w:highlight w:val="none"/>
          <w:lang w:val="en-US" w:eastAsia="zh-CN"/>
        </w:rPr>
        <w:t>HPDE6-C7</w:t>
      </w:r>
      <w:r>
        <w:rPr>
          <w:rFonts w:hint="eastAsia" w:ascii="Times New Roman" w:hAnsi="Times New Roman" w:cs="Times New Roman"/>
          <w:sz w:val="24"/>
        </w:rPr>
        <w:t xml:space="preserve"> after </w:t>
      </w:r>
      <w:r>
        <w:rPr>
          <w:rFonts w:hint="eastAsia" w:ascii="Times New Roman" w:hAnsi="Times New Roman" w:cs="Times New Roman"/>
          <w:sz w:val="24"/>
          <w:lang w:val="en-US" w:eastAsia="zh-CN"/>
        </w:rPr>
        <w:t>METTL3 silencing</w:t>
      </w:r>
      <w:r>
        <w:rPr>
          <w:rFonts w:hint="eastAsia" w:ascii="Times New Roman" w:hAnsi="Times New Roman" w:cs="Times New Roman"/>
          <w:sz w:val="24"/>
        </w:rPr>
        <w:t>.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</w:p>
    <w:p>
      <w:pPr>
        <w:spacing w:line="48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Supplementary Figure </w:t>
      </w:r>
      <w:r>
        <w:rPr>
          <w:rFonts w:hint="eastAsia" w:ascii="Times New Roman" w:hAnsi="Times New Roman"/>
          <w:b/>
          <w:sz w:val="24"/>
        </w:rPr>
        <w:t>S</w:t>
      </w:r>
      <w:r>
        <w:rPr>
          <w:rFonts w:hint="eastAsia" w:ascii="Times New Roman" w:hAnsi="Times New Roman" w:eastAsia="宋体"/>
          <w:b/>
          <w:kern w:val="0"/>
          <w:sz w:val="24"/>
          <w:lang w:val="en-US" w:eastAsia="zh-CN"/>
        </w:rPr>
        <w:t>2</w:t>
      </w:r>
      <w:r>
        <w:rPr>
          <w:rFonts w:ascii="Times New Roman" w:hAnsi="Times New Roman" w:eastAsia="宋体"/>
          <w:b/>
          <w:kern w:val="0"/>
          <w:sz w:val="24"/>
        </w:rPr>
        <w:t>.</w:t>
      </w:r>
      <w:r>
        <w:rPr>
          <w:rFonts w:hint="eastAsia" w:ascii="Times New Roman" w:hAnsi="Times New Roman" w:eastAsia="宋体"/>
          <w:b/>
          <w:kern w:val="0"/>
          <w:sz w:val="24"/>
          <w:lang w:val="en-US" w:eastAsia="zh-CN"/>
        </w:rPr>
        <w:t xml:space="preserve"> </w:t>
      </w:r>
      <w:r>
        <w:rPr>
          <w:rFonts w:ascii="Times New Roman" w:hAnsi="Times New Roman" w:eastAsia="宋体"/>
          <w:bCs/>
          <w:kern w:val="0"/>
          <w:sz w:val="24"/>
        </w:rPr>
        <w:t>(a</w:t>
      </w:r>
      <w:r>
        <w:rPr>
          <w:rFonts w:hint="eastAsia" w:ascii="Times New Roman" w:hAnsi="Times New Roman" w:eastAsia="宋体"/>
          <w:bCs/>
          <w:kern w:val="0"/>
          <w:sz w:val="24"/>
        </w:rPr>
        <w:t>)</w:t>
      </w:r>
      <w:r>
        <w:rPr>
          <w:rFonts w:ascii="Times New Roman" w:hAnsi="Times New Roman" w:eastAsia="宋体"/>
          <w:bCs/>
          <w:kern w:val="0"/>
          <w:sz w:val="24"/>
        </w:rPr>
        <w:t xml:space="preserve"> Schematic presentation of proposed mutation site for disruption of catalytic site of METTL3 protein. (b) The expression of </w:t>
      </w:r>
      <w:r>
        <w:rPr>
          <w:rFonts w:hint="eastAsia" w:ascii="Times New Roman" w:hAnsi="Times New Roman" w:eastAsia="宋体"/>
          <w:bCs/>
          <w:kern w:val="0"/>
          <w:sz w:val="24"/>
          <w:lang w:val="en-US" w:eastAsia="zh-CN"/>
        </w:rPr>
        <w:t>DDX23</w:t>
      </w:r>
      <w:r>
        <w:rPr>
          <w:rFonts w:ascii="Times New Roman" w:hAnsi="Times New Roman" w:eastAsia="宋体"/>
          <w:bCs/>
          <w:kern w:val="0"/>
          <w:sz w:val="24"/>
        </w:rPr>
        <w:t xml:space="preserve"> in </w:t>
      </w:r>
      <w:r>
        <w:rPr>
          <w:rFonts w:ascii="Times New Roman" w:hAnsi="Times New Roman" w:cs="Times New Roman"/>
          <w:sz w:val="24"/>
          <w:szCs w:val="24"/>
        </w:rPr>
        <w:t xml:space="preserve"> Panc-1</w:t>
      </w:r>
      <w:r>
        <w:rPr>
          <w:rFonts w:hint="eastAsia" w:ascii="Times New Roman" w:hAnsi="Times New Roman" w:cs="Times New Roman"/>
          <w:sz w:val="24"/>
          <w:szCs w:val="24"/>
        </w:rPr>
        <w:t xml:space="preserve"> and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SW1990</w:t>
      </w:r>
      <w:r>
        <w:rPr>
          <w:rFonts w:hint="eastAsia" w:ascii="Times New Roman" w:hAnsi="Times New Roman" w:cs="Times New Roman"/>
          <w:sz w:val="24"/>
          <w:szCs w:val="24"/>
        </w:rPr>
        <w:t xml:space="preserve"> cells</w:t>
      </w:r>
      <w:r>
        <w:rPr>
          <w:rFonts w:ascii="Times New Roman" w:hAnsi="Times New Roman" w:eastAsia="宋体"/>
          <w:bCs/>
          <w:kern w:val="0"/>
          <w:sz w:val="24"/>
        </w:rPr>
        <w:t xml:space="preserve"> transfected with empty vector (</w:t>
      </w:r>
      <w:r>
        <w:rPr>
          <w:rFonts w:hint="eastAsia" w:ascii="Times New Roman" w:hAnsi="Times New Roman" w:eastAsia="宋体"/>
          <w:bCs/>
          <w:kern w:val="0"/>
          <w:sz w:val="24"/>
          <w:lang w:val="en-US" w:eastAsia="zh-CN"/>
        </w:rPr>
        <w:t>vector</w:t>
      </w:r>
      <w:r>
        <w:rPr>
          <w:rFonts w:ascii="Times New Roman" w:hAnsi="Times New Roman" w:eastAsia="宋体"/>
          <w:bCs/>
          <w:kern w:val="0"/>
          <w:sz w:val="24"/>
        </w:rPr>
        <w:t>), wide type-METTL3 (METTL3-wide) or catalytic mutant METTL3 (METTL3-Mutant)</w:t>
      </w:r>
      <w:r>
        <w:rPr>
          <w:rFonts w:hint="eastAsia" w:ascii="Times New Roman" w:hAnsi="Times New Roman" w:eastAsia="宋体"/>
          <w:bCs/>
          <w:kern w:val="0"/>
          <w:sz w:val="24"/>
        </w:rPr>
        <w:t xml:space="preserve"> </w:t>
      </w:r>
      <w:r>
        <w:rPr>
          <w:rFonts w:ascii="Times New Roman" w:hAnsi="Times New Roman" w:eastAsia="宋体"/>
          <w:bCs/>
          <w:kern w:val="0"/>
          <w:sz w:val="24"/>
        </w:rPr>
        <w:t>was analyzed by western blotting;</w:t>
      </w:r>
    </w:p>
    <w:p>
      <w:pPr>
        <w:widowControl/>
        <w:spacing w:line="480" w:lineRule="auto"/>
        <w:rPr>
          <w:rFonts w:hint="default" w:ascii="Times New Roman" w:hAnsi="Times New Roman" w:eastAsia="宋体"/>
          <w:bCs/>
          <w:kern w:val="0"/>
          <w:sz w:val="24"/>
          <w:lang w:val="en-US" w:eastAsia="zh-CN"/>
        </w:rPr>
      </w:pPr>
      <w:r>
        <w:rPr>
          <w:rFonts w:ascii="Times New Roman" w:hAnsi="Times New Roman"/>
          <w:b/>
          <w:sz w:val="24"/>
        </w:rPr>
        <w:t xml:space="preserve">Supplementary Figure </w:t>
      </w:r>
      <w:r>
        <w:rPr>
          <w:rFonts w:hint="eastAsia" w:ascii="Times New Roman" w:hAnsi="Times New Roman"/>
          <w:b/>
          <w:sz w:val="24"/>
        </w:rPr>
        <w:t>S</w:t>
      </w:r>
      <w:r>
        <w:rPr>
          <w:rFonts w:hint="eastAsia" w:ascii="Times New Roman" w:hAnsi="Times New Roman" w:eastAsia="宋体"/>
          <w:b/>
          <w:kern w:val="0"/>
          <w:sz w:val="24"/>
          <w:lang w:val="en-US" w:eastAsia="zh-CN"/>
        </w:rPr>
        <w:t>3</w:t>
      </w:r>
      <w:r>
        <w:rPr>
          <w:rFonts w:ascii="Times New Roman" w:hAnsi="Times New Roman" w:eastAsia="宋体"/>
          <w:b/>
          <w:kern w:val="0"/>
          <w:sz w:val="24"/>
        </w:rPr>
        <w:t>.</w:t>
      </w:r>
      <w:r>
        <w:rPr>
          <w:rFonts w:ascii="Times New Roman" w:hAnsi="Times New Roman" w:eastAsia="宋体"/>
          <w:bCs/>
          <w:kern w:val="0"/>
          <w:sz w:val="24"/>
        </w:rPr>
        <w:t xml:space="preserve"> </w:t>
      </w:r>
      <w:r>
        <w:rPr>
          <w:rFonts w:hint="eastAsia" w:ascii="Times New Roman" w:hAnsi="Times New Roman" w:eastAsia="宋体"/>
          <w:bCs/>
          <w:kern w:val="0"/>
          <w:sz w:val="24"/>
          <w:lang w:val="en-US" w:eastAsia="zh-CN"/>
        </w:rPr>
        <w:t xml:space="preserve">(a) </w:t>
      </w:r>
      <w:r>
        <w:rPr>
          <w:rFonts w:ascii="Times New Roman" w:hAnsi="Times New Roman" w:eastAsia="宋体"/>
          <w:bCs/>
          <w:kern w:val="0"/>
          <w:sz w:val="24"/>
        </w:rPr>
        <w:t xml:space="preserve">The expression of </w:t>
      </w:r>
      <w:r>
        <w:rPr>
          <w:rFonts w:hint="eastAsia" w:ascii="Times New Roman" w:hAnsi="Times New Roman" w:eastAsia="宋体"/>
          <w:bCs/>
          <w:kern w:val="0"/>
          <w:sz w:val="24"/>
          <w:lang w:val="en-US" w:eastAsia="zh-CN"/>
        </w:rPr>
        <w:t>DDX23</w:t>
      </w:r>
      <w:r>
        <w:rPr>
          <w:rFonts w:ascii="Times New Roman" w:hAnsi="Times New Roman" w:eastAsia="宋体"/>
          <w:bCs/>
          <w:kern w:val="0"/>
          <w:sz w:val="24"/>
        </w:rPr>
        <w:t xml:space="preserve"> in </w:t>
      </w: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DAC</w:t>
      </w:r>
      <w:r>
        <w:rPr>
          <w:rFonts w:hint="eastAsia" w:ascii="Times New Roman" w:hAnsi="Times New Roman" w:cs="Times New Roman"/>
          <w:sz w:val="24"/>
          <w:szCs w:val="24"/>
        </w:rPr>
        <w:t xml:space="preserve"> cells</w:t>
      </w:r>
      <w:r>
        <w:rPr>
          <w:rFonts w:ascii="Times New Roman" w:hAnsi="Times New Roman" w:eastAsia="宋体"/>
          <w:bCs/>
          <w:kern w:val="0"/>
          <w:sz w:val="24"/>
        </w:rPr>
        <w:t xml:space="preserve"> transfected with si-YTHDF2</w:t>
      </w:r>
      <w:r>
        <w:rPr>
          <w:rFonts w:hint="eastAsia" w:ascii="Times New Roman" w:hAnsi="Times New Roman" w:eastAsia="宋体"/>
          <w:bCs/>
          <w:kern w:val="0"/>
          <w:sz w:val="24"/>
          <w:lang w:val="en-US" w:eastAsia="zh-CN"/>
        </w:rPr>
        <w:t>, si-YTHDF1</w:t>
      </w:r>
      <w:r>
        <w:rPr>
          <w:rFonts w:ascii="Times New Roman" w:hAnsi="Times New Roman" w:eastAsia="宋体"/>
          <w:bCs/>
          <w:kern w:val="0"/>
          <w:sz w:val="24"/>
        </w:rPr>
        <w:t xml:space="preserve"> or si-NC was analyzed by western blotting;</w:t>
      </w:r>
      <w:r>
        <w:rPr>
          <w:rFonts w:hint="eastAsia" w:ascii="Times New Roman" w:hAnsi="Times New Roman" w:eastAsia="宋体"/>
          <w:bCs/>
          <w:kern w:val="0"/>
          <w:sz w:val="24"/>
          <w:lang w:val="en-US" w:eastAsia="zh-CN"/>
        </w:rPr>
        <w:t xml:space="preserve"> (b) </w:t>
      </w:r>
      <w:r>
        <w:rPr>
          <w:rFonts w:ascii="Times New Roman" w:hAnsi="Times New Roman" w:eastAsia="宋体"/>
          <w:bCs/>
          <w:kern w:val="0"/>
          <w:sz w:val="24"/>
        </w:rPr>
        <w:t xml:space="preserve">The expression of </w:t>
      </w:r>
      <w:r>
        <w:rPr>
          <w:rFonts w:hint="eastAsia" w:ascii="Times New Roman" w:hAnsi="Times New Roman" w:eastAsia="宋体"/>
          <w:bCs/>
          <w:kern w:val="0"/>
          <w:sz w:val="24"/>
          <w:lang w:val="en-US" w:eastAsia="zh-CN"/>
        </w:rPr>
        <w:t>DDX23</w:t>
      </w:r>
      <w:r>
        <w:rPr>
          <w:rFonts w:ascii="Times New Roman" w:hAnsi="Times New Roman" w:eastAsia="宋体"/>
          <w:bCs/>
          <w:kern w:val="0"/>
          <w:sz w:val="24"/>
        </w:rPr>
        <w:t xml:space="preserve"> in </w:t>
      </w:r>
      <w:r>
        <w:rPr>
          <w:rFonts w:hint="eastAsia" w:ascii="Times New Roman" w:hAnsi="Times New Roman" w:cs="Times New Roman"/>
          <w:sz w:val="24"/>
          <w:szCs w:val="24"/>
        </w:rPr>
        <w:t>B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xPC-3</w:t>
      </w:r>
      <w:r>
        <w:rPr>
          <w:rFonts w:hint="eastAsia" w:ascii="Times New Roman" w:hAnsi="Times New Roman" w:cs="Times New Roman"/>
          <w:sz w:val="24"/>
          <w:szCs w:val="24"/>
        </w:rPr>
        <w:t xml:space="preserve"> cells</w:t>
      </w:r>
      <w:r>
        <w:rPr>
          <w:rFonts w:ascii="Times New Roman" w:hAnsi="Times New Roman" w:eastAsia="宋体"/>
          <w:bCs/>
          <w:kern w:val="0"/>
          <w:sz w:val="24"/>
        </w:rPr>
        <w:t xml:space="preserve"> transfected with negative control (NC), METTL3 plasmid (METTL3) with si-NC or si-YTHDF1</w:t>
      </w:r>
      <w:r>
        <w:rPr>
          <w:rFonts w:hint="eastAsia" w:ascii="Times New Roman" w:hAnsi="Times New Roman" w:eastAsia="宋体"/>
          <w:bCs/>
          <w:kern w:val="0"/>
          <w:sz w:val="24"/>
        </w:rPr>
        <w:t>,</w:t>
      </w:r>
      <w:r>
        <w:rPr>
          <w:rFonts w:ascii="Times New Roman" w:hAnsi="Times New Roman" w:eastAsia="宋体"/>
          <w:bCs/>
          <w:kern w:val="0"/>
          <w:sz w:val="24"/>
        </w:rPr>
        <w:t xml:space="preserve"> was analyzed by western blotting</w:t>
      </w:r>
      <w:r>
        <w:rPr>
          <w:rFonts w:hint="eastAsia" w:ascii="Times New Roman" w:hAnsi="Times New Roman" w:eastAsia="宋体"/>
          <w:bCs/>
          <w:kern w:val="0"/>
          <w:sz w:val="24"/>
          <w:lang w:val="en-US" w:eastAsia="zh-CN"/>
        </w:rPr>
        <w:t xml:space="preserve">. </w:t>
      </w:r>
    </w:p>
    <w:p>
      <w:pPr>
        <w:spacing w:line="48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Supplementary Figure </w:t>
      </w:r>
      <w:r>
        <w:rPr>
          <w:rFonts w:hint="eastAsia" w:ascii="Times New Roman" w:hAnsi="Times New Roman"/>
          <w:b/>
          <w:sz w:val="24"/>
        </w:rPr>
        <w:t>S</w:t>
      </w:r>
      <w:r>
        <w:rPr>
          <w:rFonts w:hint="eastAsia" w:ascii="Times New Roman" w:hAnsi="Times New Roman" w:eastAsia="宋体"/>
          <w:b/>
          <w:kern w:val="0"/>
          <w:sz w:val="24"/>
          <w:lang w:val="en-US" w:eastAsia="zh-CN"/>
        </w:rPr>
        <w:t>4</w:t>
      </w:r>
      <w:r>
        <w:rPr>
          <w:rFonts w:ascii="Times New Roman" w:hAnsi="Times New Roman" w:eastAsia="宋体"/>
          <w:b/>
          <w:kern w:val="0"/>
          <w:sz w:val="24"/>
        </w:rPr>
        <w:t>.</w:t>
      </w:r>
      <w:r>
        <w:rPr>
          <w:rFonts w:ascii="Times New Roman" w:hAnsi="Times New Roman" w:eastAsia="宋体"/>
          <w:bCs/>
          <w:kern w:val="0"/>
          <w:sz w:val="24"/>
        </w:rPr>
        <w:t xml:space="preserve"> </w:t>
      </w:r>
      <w:r>
        <w:rPr>
          <w:rFonts w:hint="eastAsia" w:ascii="Times New Roman" w:hAnsi="Times New Roman" w:eastAsia="宋体"/>
          <w:bCs/>
          <w:kern w:val="0"/>
          <w:sz w:val="24"/>
          <w:lang w:val="en-US" w:eastAsia="zh-CN"/>
        </w:rPr>
        <w:t>R</w:t>
      </w:r>
      <w:r>
        <w:rPr>
          <w:rFonts w:ascii="Times New Roman" w:hAnsi="Times New Roman" w:cs="Times New Roman"/>
          <w:sz w:val="24"/>
        </w:rPr>
        <w:t>epresentative figures for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sz w:val="24"/>
          <w:lang w:val="en-US" w:eastAsia="zh-CN"/>
        </w:rPr>
        <w:t>DDX23 in PDAC tissues and adjacent tissues using IHC staining</w:t>
      </w:r>
      <w:r>
        <w:rPr>
          <w:rFonts w:hint="eastAsia" w:ascii="Times New Roman" w:hAnsi="Times New Roman" w:cs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Scale bar: </w:t>
      </w:r>
      <w:r>
        <w:rPr>
          <w:rFonts w:hint="eastAsia"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00 μm</w:t>
      </w:r>
      <w:r>
        <w:rPr>
          <w:rFonts w:hint="eastAsia" w:ascii="Times New Roman" w:hAnsi="Times New Roman"/>
          <w:sz w:val="24"/>
        </w:rPr>
        <w:t>.</w:t>
      </w:r>
    </w:p>
    <w:p>
      <w:pPr>
        <w:spacing w:line="480" w:lineRule="auto"/>
        <w:rPr>
          <w:rFonts w:ascii="Times New Roman" w:hAnsi="Times New Roman" w:eastAsia="宋体"/>
          <w:bCs/>
          <w:kern w:val="0"/>
          <w:sz w:val="24"/>
          <w:highlight w:val="none"/>
        </w:rPr>
      </w:pPr>
      <w:r>
        <w:rPr>
          <w:rFonts w:ascii="Times New Roman" w:hAnsi="Times New Roman"/>
          <w:b/>
          <w:sz w:val="24"/>
          <w:highlight w:val="none"/>
        </w:rPr>
        <w:t xml:space="preserve">Supplementary Figure </w:t>
      </w:r>
      <w:r>
        <w:rPr>
          <w:rFonts w:hint="eastAsia" w:ascii="Times New Roman" w:hAnsi="Times New Roman"/>
          <w:b/>
          <w:sz w:val="24"/>
          <w:highlight w:val="none"/>
        </w:rPr>
        <w:t>S</w:t>
      </w:r>
      <w:r>
        <w:rPr>
          <w:rFonts w:hint="eastAsia" w:ascii="Times New Roman" w:hAnsi="Times New Roman" w:eastAsia="宋体"/>
          <w:b/>
          <w:kern w:val="0"/>
          <w:sz w:val="24"/>
          <w:highlight w:val="none"/>
          <w:lang w:val="en-US" w:eastAsia="zh-CN"/>
        </w:rPr>
        <w:t>5</w:t>
      </w:r>
      <w:r>
        <w:rPr>
          <w:rFonts w:ascii="Times New Roman" w:hAnsi="Times New Roman" w:eastAsia="宋体"/>
          <w:b/>
          <w:kern w:val="0"/>
          <w:sz w:val="24"/>
          <w:highlight w:val="none"/>
        </w:rPr>
        <w:t xml:space="preserve">. Signaling pathway enrichment analysis. </w:t>
      </w:r>
      <w:r>
        <w:rPr>
          <w:rFonts w:ascii="Times New Roman" w:hAnsi="Times New Roman" w:eastAsia="宋体"/>
          <w:bCs/>
          <w:kern w:val="0"/>
          <w:sz w:val="24"/>
          <w:highlight w:val="none"/>
        </w:rPr>
        <w:t xml:space="preserve">A. The signaling pathway correlation analysis shows that DDX23 activation is positively correlated with mitotic spindle, E2F targets, G2M checkpoint, and PI3K/Akt signaling </w:t>
      </w:r>
      <w:r>
        <w:rPr>
          <w:rFonts w:ascii="Times New Roman" w:hAnsi="Times New Roman" w:eastAsia="宋体"/>
          <w:bCs/>
          <w:i/>
          <w:iCs/>
          <w:kern w:val="0"/>
          <w:sz w:val="24"/>
          <w:highlight w:val="none"/>
        </w:rPr>
        <w:t>etc.</w:t>
      </w:r>
      <w:r>
        <w:rPr>
          <w:rFonts w:ascii="Times New Roman" w:hAnsi="Times New Roman" w:eastAsia="宋体"/>
          <w:bCs/>
          <w:kern w:val="0"/>
          <w:sz w:val="24"/>
          <w:highlight w:val="none"/>
        </w:rPr>
        <w:t xml:space="preserve">. B. GSEA analysis of the correlation between PI3K/Akt/mTOR signaling and DDX23 expression. </w:t>
      </w:r>
    </w:p>
    <w:p>
      <w:pPr>
        <w:spacing w:line="48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highlight w:val="none"/>
        </w:rPr>
        <w:t xml:space="preserve">Supplementary Figure </w:t>
      </w:r>
      <w:r>
        <w:rPr>
          <w:rFonts w:hint="eastAsia" w:ascii="Times New Roman" w:hAnsi="Times New Roman"/>
          <w:b/>
          <w:sz w:val="24"/>
          <w:highlight w:val="none"/>
        </w:rPr>
        <w:t>S</w:t>
      </w:r>
      <w:r>
        <w:rPr>
          <w:rFonts w:hint="eastAsia" w:ascii="Times New Roman" w:hAnsi="Times New Roman" w:eastAsia="宋体"/>
          <w:b/>
          <w:kern w:val="0"/>
          <w:sz w:val="24"/>
          <w:highlight w:val="none"/>
          <w:lang w:val="en-US" w:eastAsia="zh-CN"/>
        </w:rPr>
        <w:t>6</w:t>
      </w:r>
      <w:r>
        <w:rPr>
          <w:rFonts w:ascii="Times New Roman" w:hAnsi="Times New Roman" w:eastAsia="宋体"/>
          <w:b/>
          <w:kern w:val="0"/>
          <w:sz w:val="24"/>
          <w:highlight w:val="none"/>
        </w:rPr>
        <w:t xml:space="preserve">. </w:t>
      </w:r>
      <w:r>
        <w:rPr>
          <w:rFonts w:ascii="Times New Roman" w:hAnsi="Times New Roman" w:eastAsia="宋体"/>
          <w:bCs/>
          <w:kern w:val="0"/>
          <w:sz w:val="24"/>
          <w:highlight w:val="none"/>
        </w:rPr>
        <w:t>IHC results of phosphorylated PI3K and Akt expression in xenograft tumor tissues.</w:t>
      </w:r>
      <w:r>
        <w:rPr>
          <w:rFonts w:ascii="Times New Roman" w:hAnsi="Times New Roman" w:eastAsia="宋体"/>
          <w:b/>
          <w:kern w:val="0"/>
          <w:sz w:val="24"/>
          <w:highlight w:val="none"/>
        </w:rPr>
        <w:t xml:space="preserve"> </w:t>
      </w:r>
      <w:r>
        <w:rPr>
          <w:rFonts w:ascii="Times New Roman" w:hAnsi="Times New Roman" w:eastAsia="宋体"/>
          <w:bCs/>
          <w:kern w:val="0"/>
          <w:sz w:val="24"/>
          <w:highlight w:val="none"/>
        </w:rPr>
        <w:t xml:space="preserve">n=5. </w:t>
      </w:r>
      <w:r>
        <w:rPr>
          <w:rFonts w:ascii="Times New Roman" w:hAnsi="Times New Roman" w:eastAsia="宋体"/>
          <w:bCs/>
          <w:kern w:val="0"/>
          <w:sz w:val="24"/>
          <w:highlight w:val="none"/>
          <w:vertAlign w:val="superscript"/>
        </w:rPr>
        <w:t>**</w:t>
      </w:r>
      <w:r>
        <w:rPr>
          <w:rFonts w:ascii="Times New Roman" w:hAnsi="Times New Roman" w:eastAsia="宋体"/>
          <w:bCs/>
          <w:i/>
          <w:iCs/>
          <w:kern w:val="0"/>
          <w:sz w:val="24"/>
          <w:highlight w:val="none"/>
        </w:rPr>
        <w:t>P</w:t>
      </w:r>
      <w:r>
        <w:rPr>
          <w:rFonts w:ascii="Times New Roman" w:hAnsi="Times New Roman" w:eastAsia="宋体"/>
          <w:bCs/>
          <w:kern w:val="0"/>
          <w:sz w:val="24"/>
          <w:highlight w:val="none"/>
        </w:rPr>
        <w:t>&lt;0.01, compared with sh-NC group.</w:t>
      </w:r>
    </w:p>
    <w:p>
      <w:pPr>
        <w:spacing w:line="480" w:lineRule="auto"/>
        <w:rPr>
          <w:rFonts w:hint="eastAsia" w:ascii="Times New Roman" w:hAnsi="Times New Roman" w:eastAsia="宋体"/>
          <w:bCs/>
          <w:kern w:val="0"/>
          <w:sz w:val="24"/>
          <w:highlight w:val="none"/>
          <w:lang w:eastAsia="zh-CN"/>
        </w:rPr>
      </w:pPr>
      <w:r>
        <w:rPr>
          <w:rFonts w:ascii="Times New Roman" w:hAnsi="Times New Roman"/>
          <w:b/>
          <w:sz w:val="24"/>
        </w:rPr>
        <w:t xml:space="preserve">Supplementary Figure </w:t>
      </w:r>
      <w:r>
        <w:rPr>
          <w:rFonts w:hint="eastAsia" w:ascii="Times New Roman" w:hAnsi="Times New Roman"/>
          <w:b/>
          <w:sz w:val="24"/>
        </w:rPr>
        <w:t>S</w:t>
      </w:r>
      <w:r>
        <w:rPr>
          <w:rFonts w:hint="eastAsia" w:ascii="Times New Roman" w:hAnsi="Times New Roman"/>
          <w:b/>
          <w:sz w:val="24"/>
          <w:lang w:val="en-US" w:eastAsia="zh-CN"/>
        </w:rPr>
        <w:t>7</w:t>
      </w:r>
      <w:r>
        <w:rPr>
          <w:rFonts w:ascii="Times New Roman" w:hAnsi="Times New Roman" w:eastAsia="宋体"/>
          <w:b/>
          <w:kern w:val="0"/>
          <w:sz w:val="24"/>
        </w:rPr>
        <w:t xml:space="preserve">. </w:t>
      </w:r>
      <w:r>
        <w:rPr>
          <w:rFonts w:ascii="Times New Roman" w:hAnsi="Times New Roman" w:eastAsia="宋体"/>
          <w:bCs/>
          <w:kern w:val="0"/>
          <w:sz w:val="24"/>
        </w:rPr>
        <w:t xml:space="preserve">The suppressive effect of METTL3 knockdown was counteracted by the simultaneous upregulation of DDX23 in Transwell migration and </w:t>
      </w:r>
      <w:r>
        <w:rPr>
          <w:rFonts w:ascii="Times New Roman" w:hAnsi="Times New Roman" w:eastAsia="宋体"/>
          <w:bCs/>
          <w:kern w:val="0"/>
          <w:sz w:val="24"/>
          <w:highlight w:val="none"/>
        </w:rPr>
        <w:t xml:space="preserve">invasion assays. </w:t>
      </w:r>
      <w:r>
        <w:rPr>
          <w:rFonts w:ascii="Times New Roman" w:hAnsi="Times New Roman" w:eastAsia="宋体"/>
          <w:bCs/>
          <w:kern w:val="0"/>
          <w:sz w:val="24"/>
          <w:highlight w:val="none"/>
          <w:vertAlign w:val="superscript"/>
        </w:rPr>
        <w:t>**</w:t>
      </w:r>
      <w:r>
        <w:rPr>
          <w:rFonts w:ascii="Times New Roman" w:hAnsi="Times New Roman" w:eastAsia="宋体"/>
          <w:bCs/>
          <w:i/>
          <w:iCs/>
          <w:kern w:val="0"/>
          <w:sz w:val="24"/>
          <w:highlight w:val="none"/>
        </w:rPr>
        <w:t>P</w:t>
      </w:r>
      <w:r>
        <w:rPr>
          <w:rFonts w:ascii="Times New Roman" w:hAnsi="Times New Roman" w:eastAsia="宋体"/>
          <w:bCs/>
          <w:kern w:val="0"/>
          <w:sz w:val="24"/>
          <w:highlight w:val="none"/>
        </w:rPr>
        <w:t xml:space="preserve">&lt;0.01, </w:t>
      </w:r>
      <w:r>
        <w:rPr>
          <w:rFonts w:ascii="Times New Roman" w:hAnsi="Times New Roman" w:eastAsia="宋体"/>
          <w:bCs/>
          <w:kern w:val="0"/>
          <w:sz w:val="24"/>
          <w:highlight w:val="none"/>
          <w:vertAlign w:val="superscript"/>
        </w:rPr>
        <w:t>***</w:t>
      </w:r>
      <w:r>
        <w:rPr>
          <w:rFonts w:ascii="Times New Roman" w:hAnsi="Times New Roman" w:eastAsia="宋体"/>
          <w:bCs/>
          <w:i/>
          <w:iCs/>
          <w:kern w:val="0"/>
          <w:sz w:val="24"/>
          <w:highlight w:val="none"/>
        </w:rPr>
        <w:t>P</w:t>
      </w:r>
      <w:r>
        <w:rPr>
          <w:rFonts w:ascii="Times New Roman" w:hAnsi="Times New Roman" w:eastAsia="宋体"/>
          <w:bCs/>
          <w:kern w:val="0"/>
          <w:sz w:val="24"/>
          <w:highlight w:val="none"/>
        </w:rPr>
        <w:t>&lt;0.001, compared with sh-NC group.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Bold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TimesNewRoman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528"/>
    <w:rsid w:val="0014095B"/>
    <w:rsid w:val="00187F9F"/>
    <w:rsid w:val="001A65D6"/>
    <w:rsid w:val="001E11F9"/>
    <w:rsid w:val="002B6DAA"/>
    <w:rsid w:val="003508A9"/>
    <w:rsid w:val="004037DB"/>
    <w:rsid w:val="0042116C"/>
    <w:rsid w:val="004B67FE"/>
    <w:rsid w:val="0055255A"/>
    <w:rsid w:val="005A7567"/>
    <w:rsid w:val="005E44A9"/>
    <w:rsid w:val="00651783"/>
    <w:rsid w:val="006B5BDE"/>
    <w:rsid w:val="006E1078"/>
    <w:rsid w:val="006E7C27"/>
    <w:rsid w:val="00712528"/>
    <w:rsid w:val="00730D2B"/>
    <w:rsid w:val="00733F26"/>
    <w:rsid w:val="00766E02"/>
    <w:rsid w:val="007E3035"/>
    <w:rsid w:val="00843291"/>
    <w:rsid w:val="008C293D"/>
    <w:rsid w:val="008E0F33"/>
    <w:rsid w:val="00904097"/>
    <w:rsid w:val="00932F46"/>
    <w:rsid w:val="009F73F7"/>
    <w:rsid w:val="00A577EF"/>
    <w:rsid w:val="00A57870"/>
    <w:rsid w:val="00A74BC9"/>
    <w:rsid w:val="00A750D4"/>
    <w:rsid w:val="00AC1A53"/>
    <w:rsid w:val="00B73619"/>
    <w:rsid w:val="00BB69EC"/>
    <w:rsid w:val="00BD4646"/>
    <w:rsid w:val="00C173E4"/>
    <w:rsid w:val="00C7161B"/>
    <w:rsid w:val="00D05014"/>
    <w:rsid w:val="00D35C2E"/>
    <w:rsid w:val="00D44843"/>
    <w:rsid w:val="00D459AA"/>
    <w:rsid w:val="00D579C5"/>
    <w:rsid w:val="00D93408"/>
    <w:rsid w:val="00DC3C87"/>
    <w:rsid w:val="00EF1AF5"/>
    <w:rsid w:val="00F159A1"/>
    <w:rsid w:val="00F20A8E"/>
    <w:rsid w:val="00F24723"/>
    <w:rsid w:val="00F727A2"/>
    <w:rsid w:val="00F76743"/>
    <w:rsid w:val="00FA13C8"/>
    <w:rsid w:val="01FD72B3"/>
    <w:rsid w:val="02EF4531"/>
    <w:rsid w:val="12753659"/>
    <w:rsid w:val="17D413C6"/>
    <w:rsid w:val="1A0C2B82"/>
    <w:rsid w:val="37B551EA"/>
    <w:rsid w:val="482D169F"/>
    <w:rsid w:val="5D1D45BE"/>
    <w:rsid w:val="63F10EB7"/>
    <w:rsid w:val="70C1601A"/>
    <w:rsid w:val="7DB0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fontstyle01"/>
    <w:basedOn w:val="6"/>
    <w:qFormat/>
    <w:uiPriority w:val="0"/>
    <w:rPr>
      <w:rFonts w:hint="default" w:ascii="Bold" w:hAnsi="Bold"/>
      <w:b/>
      <w:bCs/>
      <w:color w:val="000000"/>
      <w:sz w:val="24"/>
      <w:szCs w:val="24"/>
    </w:rPr>
  </w:style>
  <w:style w:type="character" w:customStyle="1" w:styleId="10">
    <w:name w:val="fontstyle21"/>
    <w:basedOn w:val="6"/>
    <w:qFormat/>
    <w:uiPriority w:val="0"/>
    <w:rPr>
      <w:rFonts w:hint="default" w:ascii="TimesNewRoman" w:hAnsi="TimesNewRoman"/>
      <w:color w:val="000000"/>
      <w:sz w:val="24"/>
      <w:szCs w:val="24"/>
    </w:rPr>
  </w:style>
  <w:style w:type="character" w:customStyle="1" w:styleId="11">
    <w:name w:val="fontstyle31"/>
    <w:basedOn w:val="6"/>
    <w:qFormat/>
    <w:uiPriority w:val="0"/>
    <w:rPr>
      <w:rFonts w:hint="default" w:ascii="TimesNewRoman" w:hAnsi="TimesNewRoman"/>
      <w:i/>
      <w:iCs/>
      <w:color w:val="000000"/>
      <w:sz w:val="24"/>
      <w:szCs w:val="24"/>
    </w:rPr>
  </w:style>
  <w:style w:type="character" w:customStyle="1" w:styleId="12">
    <w:name w:val="fontstyle41"/>
    <w:basedOn w:val="6"/>
    <w:qFormat/>
    <w:uiPriority w:val="0"/>
    <w:rPr>
      <w:rFonts w:hint="default" w:ascii="TimesNewRoman" w:hAnsi="TimesNewRoman"/>
      <w:i/>
      <w:iCs/>
      <w:color w:val="000000"/>
      <w:sz w:val="24"/>
      <w:szCs w:val="24"/>
    </w:rPr>
  </w:style>
  <w:style w:type="character" w:customStyle="1" w:styleId="13">
    <w:name w:val="批注框文本 字符"/>
    <w:basedOn w:val="6"/>
    <w:link w:val="2"/>
    <w:semiHidden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119</Words>
  <Characters>681</Characters>
  <Lines>5</Lines>
  <Paragraphs>1</Paragraphs>
  <TotalTime>0</TotalTime>
  <ScaleCrop>false</ScaleCrop>
  <LinksUpToDate>false</LinksUpToDate>
  <CharactersWithSpaces>799</CharactersWithSpaces>
  <Application>WPS Office_11.8.2.11542_F1E327BC-269C-435d-A152-05C5408002CA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2020-01-31T18:18:00Z</dcterms:created>
  <dc:creator>Administrator</dc:creator>
  <cp:lastModifiedBy>Administrator</cp:lastModifiedBy>
  <dcterms:modified xsi:type="dcterms:W3CDTF">2023-02-10T16:18:41Z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2052-11.8.2.11542</vt:lpwstr>
  </property>
  <property fmtid="{D5CDD505-2E9C-101B-9397-08002B2CF9AE}" pid="3" name="ICV">
    <vt:lpwstr>BE8556C83451465DAD029666549A568D</vt:lpwstr>
  </property>
</Properties>
</file>