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30ABA" w14:textId="77777777" w:rsidR="00301553" w:rsidRPr="00AD194B" w:rsidRDefault="00301553" w:rsidP="00301553">
      <w:pPr>
        <w:rPr>
          <w:rFonts w:ascii="Times New Roman" w:hAnsi="Times New Roman" w:cs="Times New Roman"/>
          <w:b/>
          <w:bCs/>
        </w:rPr>
      </w:pPr>
      <w:r w:rsidRPr="00AD194B">
        <w:rPr>
          <w:rFonts w:ascii="Times New Roman" w:hAnsi="Times New Roman" w:cs="Times New Roman"/>
          <w:b/>
          <w:bCs/>
        </w:rPr>
        <w:t>Supplementary Figure legends:</w:t>
      </w:r>
    </w:p>
    <w:p w14:paraId="6C3F40CF" w14:textId="77777777" w:rsidR="00301553" w:rsidRPr="00AD194B" w:rsidRDefault="00301553" w:rsidP="00301553">
      <w:pPr>
        <w:rPr>
          <w:rFonts w:ascii="Times New Roman" w:hAnsi="Times New Roman" w:cs="Times New Roman"/>
          <w:b/>
          <w:bCs/>
        </w:rPr>
      </w:pPr>
    </w:p>
    <w:p w14:paraId="51A62ABA" w14:textId="77777777" w:rsidR="00301553" w:rsidRPr="00AD194B" w:rsidRDefault="00301553" w:rsidP="00301553">
      <w:pPr>
        <w:rPr>
          <w:rFonts w:ascii="Times New Roman" w:hAnsi="Times New Roman" w:cs="Times New Roman"/>
        </w:rPr>
      </w:pPr>
      <w:r w:rsidRPr="00AD194B">
        <w:rPr>
          <w:rFonts w:ascii="Times New Roman" w:hAnsi="Times New Roman" w:cs="Times New Roman"/>
          <w:b/>
          <w:bCs/>
        </w:rPr>
        <w:t>Supplementary Figure 1.</w:t>
      </w:r>
      <w:r w:rsidRPr="00AD194B">
        <w:rPr>
          <w:rFonts w:ascii="Times New Roman" w:hAnsi="Times New Roman" w:cs="Times New Roman"/>
        </w:rPr>
        <w:t xml:space="preserve"> </w:t>
      </w:r>
      <w:r w:rsidRPr="00AD194B">
        <w:rPr>
          <w:rFonts w:ascii="Times New Roman" w:hAnsi="Times New Roman" w:cs="Times New Roman"/>
          <w:b/>
          <w:bCs/>
        </w:rPr>
        <w:t>(A, B)</w:t>
      </w:r>
      <w:r w:rsidRPr="00AD194B">
        <w:rPr>
          <w:rFonts w:ascii="Times New Roman" w:hAnsi="Times New Roman" w:cs="Times New Roman"/>
        </w:rPr>
        <w:t xml:space="preserve"> </w:t>
      </w:r>
      <w:r w:rsidRPr="00AD194B">
        <w:rPr>
          <w:rFonts w:ascii="Times New Roman" w:eastAsia="等线" w:hAnsi="Times New Roman" w:cs="Times New Roman"/>
        </w:rPr>
        <w:t>Heatmap</w:t>
      </w:r>
      <w:r w:rsidRPr="00AD194B">
        <w:rPr>
          <w:rFonts w:ascii="Times New Roman" w:hAnsi="Times New Roman" w:cs="Times New Roman"/>
        </w:rPr>
        <w:t xml:space="preserve"> and volcano map of the differential</w:t>
      </w:r>
      <w:r>
        <w:rPr>
          <w:rFonts w:ascii="Times New Roman" w:hAnsi="Times New Roman" w:cs="Times New Roman"/>
        </w:rPr>
        <w:t xml:space="preserve"> expression</w:t>
      </w:r>
      <w:r w:rsidRPr="00AD194B">
        <w:rPr>
          <w:rFonts w:ascii="Times New Roman" w:hAnsi="Times New Roman" w:cs="Times New Roman"/>
        </w:rPr>
        <w:t xml:space="preserve"> results. </w:t>
      </w:r>
      <w:r w:rsidRPr="00AD194B">
        <w:rPr>
          <w:rFonts w:ascii="Times New Roman" w:hAnsi="Times New Roman" w:cs="Times New Roman"/>
          <w:b/>
          <w:bCs/>
        </w:rPr>
        <w:t>(C)</w:t>
      </w:r>
      <w:r w:rsidRPr="00AD194B">
        <w:rPr>
          <w:rFonts w:ascii="Times New Roman" w:hAnsi="Times New Roman" w:cs="Times New Roman"/>
        </w:rPr>
        <w:t xml:space="preserve"> </w:t>
      </w:r>
      <w:proofErr w:type="spellStart"/>
      <w:r w:rsidRPr="00AD194B">
        <w:rPr>
          <w:rFonts w:ascii="Times New Roman" w:hAnsi="Times New Roman" w:cs="Times New Roman"/>
        </w:rPr>
        <w:t>Reactome</w:t>
      </w:r>
      <w:proofErr w:type="spellEnd"/>
      <w:r w:rsidRPr="00AD194B">
        <w:rPr>
          <w:rFonts w:ascii="Times New Roman" w:hAnsi="Times New Roman" w:cs="Times New Roman"/>
        </w:rPr>
        <w:t xml:space="preserve"> enrichment analysis of </w:t>
      </w:r>
      <w:r w:rsidRPr="00AD194B">
        <w:rPr>
          <w:rFonts w:ascii="Times New Roman" w:eastAsia="等线" w:hAnsi="Times New Roman" w:cs="Times New Roman"/>
        </w:rPr>
        <w:t>upregulated</w:t>
      </w:r>
      <w:r w:rsidRPr="00AD194B">
        <w:rPr>
          <w:rFonts w:ascii="Times New Roman" w:hAnsi="Times New Roman" w:cs="Times New Roman"/>
        </w:rPr>
        <w:t xml:space="preserve"> DEGs. </w:t>
      </w:r>
      <w:r w:rsidRPr="00AD194B">
        <w:rPr>
          <w:rFonts w:ascii="Times New Roman" w:hAnsi="Times New Roman" w:cs="Times New Roman"/>
          <w:b/>
          <w:bCs/>
        </w:rPr>
        <w:t>(D)</w:t>
      </w:r>
      <w:r w:rsidRPr="00AD194B">
        <w:rPr>
          <w:rFonts w:ascii="Times New Roman" w:hAnsi="Times New Roman" w:cs="Times New Roman"/>
        </w:rPr>
        <w:t xml:space="preserve"> </w:t>
      </w:r>
      <w:proofErr w:type="spellStart"/>
      <w:r w:rsidRPr="00AD194B">
        <w:rPr>
          <w:rFonts w:ascii="Times New Roman" w:hAnsi="Times New Roman" w:cs="Times New Roman"/>
        </w:rPr>
        <w:t>Reactome</w:t>
      </w:r>
      <w:proofErr w:type="spellEnd"/>
      <w:r w:rsidRPr="00AD194B">
        <w:rPr>
          <w:rFonts w:ascii="Times New Roman" w:hAnsi="Times New Roman" w:cs="Times New Roman"/>
        </w:rPr>
        <w:t xml:space="preserve"> enrichment analysis of </w:t>
      </w:r>
      <w:r w:rsidRPr="00AD194B">
        <w:rPr>
          <w:rFonts w:ascii="Times New Roman" w:eastAsia="等线" w:hAnsi="Times New Roman" w:cs="Times New Roman"/>
        </w:rPr>
        <w:t>downregulated</w:t>
      </w:r>
      <w:r w:rsidRPr="00AD194B">
        <w:rPr>
          <w:rFonts w:ascii="Times New Roman" w:hAnsi="Times New Roman" w:cs="Times New Roman"/>
        </w:rPr>
        <w:t xml:space="preserve"> DEGs. </w:t>
      </w:r>
      <w:r w:rsidRPr="00AD194B">
        <w:rPr>
          <w:rFonts w:ascii="Times New Roman" w:hAnsi="Times New Roman" w:cs="Times New Roman"/>
          <w:b/>
          <w:bCs/>
        </w:rPr>
        <w:t>(E)</w:t>
      </w:r>
      <w:r w:rsidRPr="00AD194B">
        <w:rPr>
          <w:rFonts w:ascii="Times New Roman" w:hAnsi="Times New Roman" w:cs="Times New Roman"/>
        </w:rPr>
        <w:t xml:space="preserve"> GO enrichment analysis of </w:t>
      </w:r>
      <w:r w:rsidRPr="00AD194B">
        <w:rPr>
          <w:rFonts w:ascii="Times New Roman" w:eastAsia="等线" w:hAnsi="Times New Roman" w:cs="Times New Roman"/>
        </w:rPr>
        <w:t>upregulated</w:t>
      </w:r>
      <w:r w:rsidRPr="00AD194B">
        <w:rPr>
          <w:rFonts w:ascii="Times New Roman" w:hAnsi="Times New Roman" w:cs="Times New Roman"/>
        </w:rPr>
        <w:t xml:space="preserve"> DEGs. </w:t>
      </w:r>
      <w:r w:rsidRPr="00AD194B">
        <w:rPr>
          <w:rFonts w:ascii="Times New Roman" w:hAnsi="Times New Roman" w:cs="Times New Roman"/>
          <w:b/>
          <w:bCs/>
        </w:rPr>
        <w:t>(F)</w:t>
      </w:r>
      <w:r w:rsidRPr="00AD194B">
        <w:rPr>
          <w:rFonts w:ascii="Times New Roman" w:hAnsi="Times New Roman" w:cs="Times New Roman"/>
        </w:rPr>
        <w:t xml:space="preserve"> GO enrichment analysis of </w:t>
      </w:r>
      <w:r w:rsidRPr="00AD194B">
        <w:rPr>
          <w:rFonts w:ascii="Times New Roman" w:eastAsia="等线" w:hAnsi="Times New Roman" w:cs="Times New Roman"/>
        </w:rPr>
        <w:t>downregulated</w:t>
      </w:r>
      <w:r w:rsidRPr="00AD194B">
        <w:rPr>
          <w:rFonts w:ascii="Times New Roman" w:hAnsi="Times New Roman" w:cs="Times New Roman"/>
        </w:rPr>
        <w:t xml:space="preserve"> DEGs.</w:t>
      </w:r>
    </w:p>
    <w:p w14:paraId="6EC20034" w14:textId="77777777" w:rsidR="00301553" w:rsidRPr="00AD194B" w:rsidRDefault="00301553" w:rsidP="00301553">
      <w:pPr>
        <w:rPr>
          <w:rFonts w:ascii="Times New Roman" w:hAnsi="Times New Roman" w:cs="Times New Roman"/>
        </w:rPr>
      </w:pPr>
    </w:p>
    <w:p w14:paraId="238EB48B" w14:textId="3D72443E" w:rsidR="00301553" w:rsidRPr="00AD194B" w:rsidRDefault="00301553" w:rsidP="00301553">
      <w:pPr>
        <w:rPr>
          <w:rFonts w:ascii="Times New Roman" w:hAnsi="Times New Roman" w:cs="Times New Roman"/>
          <w:sz w:val="24"/>
          <w:szCs w:val="28"/>
        </w:rPr>
      </w:pPr>
      <w:r w:rsidRPr="00AD194B">
        <w:rPr>
          <w:rFonts w:ascii="Times New Roman" w:hAnsi="Times New Roman" w:cs="Times New Roman"/>
          <w:b/>
          <w:bCs/>
        </w:rPr>
        <w:t xml:space="preserve">Supplementary Figure 2. </w:t>
      </w:r>
      <w:bookmarkStart w:id="0" w:name="OLE_LINK15"/>
      <w:r w:rsidRPr="00AD194B">
        <w:rPr>
          <w:rFonts w:ascii="Times New Roman" w:hAnsi="Times New Roman" w:cs="Times New Roman"/>
          <w:b/>
          <w:bCs/>
        </w:rPr>
        <w:t xml:space="preserve">(A) </w:t>
      </w:r>
      <w:bookmarkEnd w:id="0"/>
      <w:r>
        <w:rPr>
          <w:rFonts w:ascii="Times New Roman" w:hAnsi="Times New Roman" w:cs="Times New Roman"/>
        </w:rPr>
        <w:t>The changes in the c</w:t>
      </w:r>
      <w:r w:rsidRPr="00AD194B">
        <w:rPr>
          <w:rFonts w:ascii="Times New Roman" w:hAnsi="Times New Roman" w:cs="Times New Roman"/>
        </w:rPr>
        <w:t xml:space="preserve">olony numbers </w:t>
      </w:r>
      <w:r>
        <w:rPr>
          <w:rFonts w:ascii="Times New Roman" w:hAnsi="Times New Roman" w:cs="Times New Roman"/>
        </w:rPr>
        <w:t>of</w:t>
      </w:r>
      <w:r w:rsidRPr="00AD194B">
        <w:rPr>
          <w:rFonts w:ascii="Times New Roman" w:hAnsi="Times New Roman" w:cs="Times New Roman"/>
        </w:rPr>
        <w:t xml:space="preserve"> U87 and U251 cells were reversed by ferrostatin-1.</w:t>
      </w:r>
      <w:r w:rsidRPr="00AD194B">
        <w:rPr>
          <w:rFonts w:ascii="Times New Roman" w:hAnsi="Times New Roman" w:cs="Times New Roman"/>
          <w:b/>
          <w:bCs/>
        </w:rPr>
        <w:t xml:space="preserve"> (B) </w:t>
      </w:r>
      <w:r w:rsidRPr="00AD194B">
        <w:rPr>
          <w:rFonts w:ascii="Times New Roman" w:hAnsi="Times New Roman" w:cs="Times New Roman"/>
        </w:rPr>
        <w:t>Flow cytometry results showed that ferrostatin-1 reversed the</w:t>
      </w:r>
      <w:r>
        <w:rPr>
          <w:rFonts w:ascii="Times New Roman" w:hAnsi="Times New Roman" w:cs="Times New Roman"/>
        </w:rPr>
        <w:t xml:space="preserve"> change in the</w:t>
      </w:r>
      <w:r w:rsidRPr="00AD194B">
        <w:rPr>
          <w:rFonts w:ascii="Times New Roman" w:hAnsi="Times New Roman" w:cs="Times New Roman"/>
        </w:rPr>
        <w:t xml:space="preserve"> lipid ROS level in U87 and U251 cells.</w:t>
      </w:r>
      <w:r w:rsidRPr="00AD194B">
        <w:rPr>
          <w:rFonts w:ascii="Times New Roman" w:hAnsi="Times New Roman" w:cs="Times New Roman"/>
          <w:b/>
          <w:bCs/>
        </w:rPr>
        <w:t xml:space="preserve"> (C)</w:t>
      </w:r>
      <w:r w:rsidRPr="00AD194B">
        <w:rPr>
          <w:rFonts w:ascii="Times New Roman" w:hAnsi="Times New Roman" w:cs="Times New Roman"/>
        </w:rPr>
        <w:t xml:space="preserve"> CCK-8 assay</w:t>
      </w:r>
      <w:r>
        <w:rPr>
          <w:rFonts w:ascii="Times New Roman" w:hAnsi="Times New Roman" w:cs="Times New Roman"/>
        </w:rPr>
        <w:t>s</w:t>
      </w:r>
      <w:r w:rsidRPr="00AD194B">
        <w:rPr>
          <w:rFonts w:ascii="Times New Roman" w:hAnsi="Times New Roman" w:cs="Times New Roman"/>
        </w:rPr>
        <w:t xml:space="preserve"> showed</w:t>
      </w:r>
      <w:r w:rsidRPr="00AD194B">
        <w:rPr>
          <w:rFonts w:ascii="Times New Roman" w:eastAsia="等线" w:hAnsi="Times New Roman" w:cs="Times New Roman"/>
        </w:rPr>
        <w:t xml:space="preserve"> that</w:t>
      </w:r>
      <w:r w:rsidRPr="00AD194B">
        <w:rPr>
          <w:rFonts w:ascii="Times New Roman" w:hAnsi="Times New Roman" w:cs="Times New Roman"/>
        </w:rPr>
        <w:t xml:space="preserve"> the </w:t>
      </w:r>
      <w:r>
        <w:rPr>
          <w:rFonts w:ascii="Times New Roman" w:hAnsi="Times New Roman" w:cs="Times New Roman"/>
        </w:rPr>
        <w:t xml:space="preserve">change in </w:t>
      </w:r>
      <w:r w:rsidRPr="00AD194B">
        <w:rPr>
          <w:rFonts w:ascii="Times New Roman" w:hAnsi="Times New Roman" w:cs="Times New Roman"/>
        </w:rPr>
        <w:t>cell viability</w:t>
      </w:r>
      <w:r w:rsidR="005032C9">
        <w:rPr>
          <w:rFonts w:ascii="Times New Roman" w:hAnsi="Times New Roman" w:cs="Times New Roman"/>
        </w:rPr>
        <w:t xml:space="preserve"> </w:t>
      </w:r>
      <w:r w:rsidR="005032C9" w:rsidRPr="005032C9">
        <w:rPr>
          <w:rFonts w:ascii="Times New Roman" w:hAnsi="Times New Roman" w:cs="Times New Roman"/>
        </w:rPr>
        <w:t>(absorbance value at 450 nm)</w:t>
      </w:r>
      <w:r w:rsidRPr="00AD194B">
        <w:rPr>
          <w:rFonts w:ascii="Times New Roman" w:hAnsi="Times New Roman" w:cs="Times New Roman"/>
        </w:rPr>
        <w:t xml:space="preserve"> of U87 and U251 cells </w:t>
      </w:r>
      <w:r w:rsidRPr="00AD194B">
        <w:rPr>
          <w:rFonts w:ascii="Times New Roman" w:eastAsia="等线" w:hAnsi="Times New Roman" w:cs="Times New Roman"/>
        </w:rPr>
        <w:t>was</w:t>
      </w:r>
      <w:r w:rsidRPr="00AD194B">
        <w:rPr>
          <w:rFonts w:ascii="Times New Roman" w:hAnsi="Times New Roman" w:cs="Times New Roman"/>
        </w:rPr>
        <w:t xml:space="preserve"> reversed by </w:t>
      </w:r>
      <w:r w:rsidRPr="00AD194B">
        <w:rPr>
          <w:rFonts w:ascii="Times New Roman" w:eastAsia="等线" w:hAnsi="Times New Roman" w:cs="Times New Roman"/>
        </w:rPr>
        <w:t>deferoxamine</w:t>
      </w:r>
      <w:r w:rsidRPr="00AD194B">
        <w:rPr>
          <w:rFonts w:ascii="Times New Roman" w:hAnsi="Times New Roman" w:cs="Times New Roman"/>
        </w:rPr>
        <w:t xml:space="preserve"> (DFO)</w:t>
      </w:r>
      <w:r w:rsidR="00BA2F8F">
        <w:rPr>
          <w:rFonts w:ascii="Times New Roman" w:hAnsi="Times New Roman" w:cs="Times New Roman"/>
        </w:rPr>
        <w:t xml:space="preserve"> treatment </w:t>
      </w:r>
      <w:r w:rsidR="00BA2F8F" w:rsidRPr="00BA2F8F">
        <w:rPr>
          <w:rFonts w:ascii="Times New Roman" w:hAnsi="Times New Roman" w:cs="Times New Roman"/>
        </w:rPr>
        <w:t>(500 µM)</w:t>
      </w:r>
      <w:r w:rsidRPr="00AD194B">
        <w:rPr>
          <w:rFonts w:ascii="Times New Roman" w:hAnsi="Times New Roman" w:cs="Times New Roman"/>
        </w:rPr>
        <w:t xml:space="preserve">. </w:t>
      </w:r>
      <w:r w:rsidRPr="00AD194B">
        <w:rPr>
          <w:rFonts w:ascii="Times New Roman" w:hAnsi="Times New Roman" w:cs="Times New Roman"/>
          <w:b/>
          <w:bCs/>
        </w:rPr>
        <w:t>(D)</w:t>
      </w:r>
      <w:r w:rsidRPr="00AD194B">
        <w:rPr>
          <w:rFonts w:ascii="Times New Roman" w:hAnsi="Times New Roman" w:cs="Times New Roman"/>
        </w:rPr>
        <w:t xml:space="preserve"> The expression </w:t>
      </w:r>
      <w:r w:rsidRPr="00AD194B">
        <w:rPr>
          <w:rFonts w:ascii="Times New Roman" w:eastAsia="等线" w:hAnsi="Times New Roman" w:cs="Times New Roman"/>
        </w:rPr>
        <w:t>levels</w:t>
      </w:r>
      <w:r w:rsidRPr="00AD194B">
        <w:rPr>
          <w:rFonts w:ascii="Times New Roman" w:hAnsi="Times New Roman" w:cs="Times New Roman"/>
        </w:rPr>
        <w:t xml:space="preserve"> of ACSL4, SLC7A11, and FTL in U87 and U251 cells after fatostatin treatment. </w:t>
      </w:r>
      <w:r w:rsidRPr="00AD194B">
        <w:rPr>
          <w:rFonts w:ascii="Times New Roman" w:hAnsi="Times New Roman" w:cs="Times New Roman"/>
          <w:b/>
          <w:bCs/>
        </w:rPr>
        <w:t>(E)</w:t>
      </w:r>
      <w:r w:rsidRPr="00AD194B">
        <w:t xml:space="preserve"> </w:t>
      </w:r>
      <w:r w:rsidRPr="00AD194B">
        <w:rPr>
          <w:rFonts w:ascii="Times New Roman" w:hAnsi="Times New Roman" w:cs="Times New Roman"/>
        </w:rPr>
        <w:t xml:space="preserve">Western blot analysis confirmed the overexpression efficacy of </w:t>
      </w:r>
      <w:r w:rsidRPr="00AD194B">
        <w:rPr>
          <w:rFonts w:ascii="Times New Roman" w:eastAsia="等线" w:hAnsi="Times New Roman" w:cs="Times New Roman"/>
        </w:rPr>
        <w:t xml:space="preserve">the </w:t>
      </w:r>
      <w:r w:rsidRPr="00AD194B">
        <w:rPr>
          <w:rFonts w:ascii="Times New Roman" w:hAnsi="Times New Roman" w:cs="Times New Roman"/>
        </w:rPr>
        <w:t xml:space="preserve">GPX4-overexpressing (OE-GPX4) plasmid with </w:t>
      </w:r>
      <w:r w:rsidRPr="00AD194B">
        <w:rPr>
          <w:rFonts w:ascii="Times New Roman" w:eastAsia="等线" w:hAnsi="Times New Roman" w:cs="Times New Roman"/>
        </w:rPr>
        <w:t xml:space="preserve">a </w:t>
      </w:r>
      <w:r w:rsidRPr="00AD194B">
        <w:rPr>
          <w:rFonts w:ascii="Times New Roman" w:hAnsi="Times New Roman" w:cs="Times New Roman"/>
        </w:rPr>
        <w:t xml:space="preserve">flag tag. </w:t>
      </w:r>
      <w:r w:rsidRPr="00AD194B">
        <w:rPr>
          <w:rFonts w:ascii="Times New Roman" w:hAnsi="Times New Roman" w:cs="Times New Roman"/>
          <w:b/>
          <w:bCs/>
        </w:rPr>
        <w:t>(F)</w:t>
      </w:r>
      <w:r w:rsidRPr="00AD194B">
        <w:rPr>
          <w:rFonts w:ascii="Times New Roman" w:hAnsi="Times New Roman" w:cs="Times New Roman"/>
        </w:rPr>
        <w:t xml:space="preserve"> Quantitative analysis of the lipid ROS levels in different groups</w:t>
      </w:r>
      <w:r w:rsidRPr="00AD194B">
        <w:rPr>
          <w:rFonts w:ascii="Times New Roman" w:hAnsi="Times New Roman" w:cs="Times New Roman" w:hint="eastAsia"/>
        </w:rPr>
        <w:t>.</w:t>
      </w:r>
      <w:r w:rsidRPr="00AD194B">
        <w:rPr>
          <w:rFonts w:ascii="Times New Roman" w:hAnsi="Times New Roman" w:cs="Times New Roman"/>
          <w:sz w:val="24"/>
          <w:szCs w:val="28"/>
        </w:rPr>
        <w:t xml:space="preserve"> *</w:t>
      </w:r>
      <w:r w:rsidRPr="00AD194B">
        <w:rPr>
          <w:rFonts w:ascii="Times New Roman" w:hAnsi="Times New Roman" w:cs="Times New Roman"/>
          <w:i/>
          <w:iCs/>
          <w:sz w:val="24"/>
          <w:szCs w:val="28"/>
        </w:rPr>
        <w:t>P</w:t>
      </w:r>
      <w:r w:rsidRPr="00AD194B">
        <w:rPr>
          <w:rFonts w:ascii="Times New Roman" w:hAnsi="Times New Roman" w:cs="Times New Roman"/>
          <w:sz w:val="24"/>
          <w:szCs w:val="28"/>
        </w:rPr>
        <w:t xml:space="preserve"> &lt; 0.05, **</w:t>
      </w:r>
      <w:r w:rsidRPr="00AD194B">
        <w:rPr>
          <w:rFonts w:ascii="Times New Roman" w:hAnsi="Times New Roman" w:cs="Times New Roman"/>
          <w:i/>
          <w:iCs/>
          <w:sz w:val="24"/>
          <w:szCs w:val="28"/>
        </w:rPr>
        <w:t>P</w:t>
      </w:r>
      <w:r w:rsidRPr="00AD194B">
        <w:rPr>
          <w:rFonts w:ascii="Times New Roman" w:hAnsi="Times New Roman" w:cs="Times New Roman"/>
          <w:sz w:val="24"/>
          <w:szCs w:val="28"/>
        </w:rPr>
        <w:t xml:space="preserve"> &lt;0.01, ***</w:t>
      </w:r>
      <w:r w:rsidRPr="00AD194B">
        <w:rPr>
          <w:rFonts w:ascii="Times New Roman" w:hAnsi="Times New Roman" w:cs="Times New Roman"/>
          <w:i/>
          <w:iCs/>
          <w:sz w:val="24"/>
          <w:szCs w:val="28"/>
        </w:rPr>
        <w:t>P</w:t>
      </w:r>
      <w:r w:rsidRPr="00AD194B">
        <w:rPr>
          <w:rFonts w:ascii="Times New Roman" w:hAnsi="Times New Roman" w:cs="Times New Roman"/>
          <w:sz w:val="24"/>
          <w:szCs w:val="28"/>
        </w:rPr>
        <w:t xml:space="preserve"> &lt; 0.001;</w:t>
      </w:r>
      <w:r w:rsidRPr="00AD194B">
        <w:t xml:space="preserve"> </w:t>
      </w:r>
      <w:r w:rsidRPr="00AD194B">
        <w:rPr>
          <w:rFonts w:ascii="Times New Roman" w:hAnsi="Times New Roman" w:cs="Times New Roman"/>
          <w:sz w:val="24"/>
          <w:szCs w:val="28"/>
        </w:rPr>
        <w:t>ns: no significance.</w:t>
      </w:r>
    </w:p>
    <w:p w14:paraId="34B0F078" w14:textId="77777777" w:rsidR="00301553" w:rsidRPr="00AD194B" w:rsidRDefault="00301553" w:rsidP="00301553">
      <w:pPr>
        <w:rPr>
          <w:rFonts w:ascii="Times New Roman" w:hAnsi="Times New Roman" w:cs="Times New Roman"/>
        </w:rPr>
      </w:pPr>
    </w:p>
    <w:p w14:paraId="0305F960" w14:textId="77777777" w:rsidR="00301553" w:rsidRPr="00AD194B" w:rsidRDefault="00301553" w:rsidP="00301553">
      <w:pPr>
        <w:rPr>
          <w:rFonts w:ascii="Times New Roman" w:hAnsi="Times New Roman" w:cs="Times New Roman"/>
        </w:rPr>
      </w:pPr>
    </w:p>
    <w:p w14:paraId="173C79D2" w14:textId="77777777" w:rsidR="00301553" w:rsidRPr="00AD194B" w:rsidRDefault="00301553" w:rsidP="00301553">
      <w:pPr>
        <w:rPr>
          <w:rFonts w:ascii="Times New Roman" w:hAnsi="Times New Roman" w:cs="Times New Roman"/>
        </w:rPr>
      </w:pPr>
      <w:r w:rsidRPr="00AD194B">
        <w:rPr>
          <w:rFonts w:ascii="Times New Roman" w:hAnsi="Times New Roman" w:cs="Times New Roman"/>
          <w:b/>
          <w:bCs/>
        </w:rPr>
        <w:t xml:space="preserve">Supplementary Figure 3. </w:t>
      </w:r>
      <w:r w:rsidRPr="00AD194B">
        <w:rPr>
          <w:rFonts w:ascii="Times New Roman" w:hAnsi="Times New Roman" w:cs="Times New Roman"/>
        </w:rPr>
        <w:t xml:space="preserve">GSEA enrichment analysis between the DMSO group and </w:t>
      </w:r>
      <w:r>
        <w:rPr>
          <w:rFonts w:ascii="Times New Roman" w:hAnsi="Times New Roman" w:cs="Times New Roman"/>
        </w:rPr>
        <w:t xml:space="preserve">the </w:t>
      </w:r>
      <w:r w:rsidRPr="00AD194B">
        <w:rPr>
          <w:rFonts w:ascii="Times New Roman" w:hAnsi="Times New Roman" w:cs="Times New Roman"/>
        </w:rPr>
        <w:t>fatostatin group. NES: normalized enrichment score.</w:t>
      </w:r>
    </w:p>
    <w:p w14:paraId="061A2BA3" w14:textId="77777777" w:rsidR="00301553" w:rsidRPr="00AD194B" w:rsidRDefault="00301553" w:rsidP="00301553">
      <w:pPr>
        <w:rPr>
          <w:rFonts w:ascii="Times New Roman" w:hAnsi="Times New Roman" w:cs="Times New Roman"/>
        </w:rPr>
      </w:pPr>
    </w:p>
    <w:p w14:paraId="3508B520" w14:textId="21B15695" w:rsidR="00301553" w:rsidRPr="00AD194B" w:rsidRDefault="00301553" w:rsidP="00301553">
      <w:pPr>
        <w:rPr>
          <w:rFonts w:ascii="Times New Roman" w:hAnsi="Times New Roman" w:cs="Times New Roman"/>
        </w:rPr>
      </w:pPr>
      <w:r w:rsidRPr="00AD194B">
        <w:rPr>
          <w:rFonts w:ascii="Times New Roman" w:hAnsi="Times New Roman" w:cs="Times New Roman"/>
          <w:b/>
          <w:bCs/>
        </w:rPr>
        <w:t>Supplementary Figure 4. (A)</w:t>
      </w:r>
      <w:r w:rsidRPr="00AD194B">
        <w:rPr>
          <w:rFonts w:ascii="Times New Roman" w:hAnsi="Times New Roman" w:cs="Times New Roman"/>
        </w:rPr>
        <w:t xml:space="preserve"> </w:t>
      </w:r>
      <w:r w:rsidRPr="00AD194B">
        <w:rPr>
          <w:rFonts w:ascii="Times New Roman" w:eastAsia="等线" w:hAnsi="Times New Roman" w:cs="Times New Roman"/>
        </w:rPr>
        <w:t>Cell</w:t>
      </w:r>
      <w:r w:rsidRPr="00AD194B">
        <w:rPr>
          <w:rFonts w:ascii="Times New Roman" w:hAnsi="Times New Roman" w:cs="Times New Roman"/>
        </w:rPr>
        <w:t xml:space="preserve"> viability assay of </w:t>
      </w:r>
      <w:r>
        <w:rPr>
          <w:rFonts w:ascii="Times New Roman" w:hAnsi="Times New Roman" w:cs="Times New Roman"/>
        </w:rPr>
        <w:t xml:space="preserve">the </w:t>
      </w:r>
      <w:r w:rsidRPr="00AD194B">
        <w:rPr>
          <w:rFonts w:ascii="Times New Roman" w:hAnsi="Times New Roman" w:cs="Times New Roman"/>
        </w:rPr>
        <w:t xml:space="preserve">U87 cells treated with PBS, DMSO, NPs, and p28-NPs for </w:t>
      </w:r>
      <w:r w:rsidRPr="00AD194B">
        <w:rPr>
          <w:rFonts w:ascii="Times New Roman" w:eastAsia="等线" w:hAnsi="Times New Roman" w:cs="Times New Roman"/>
        </w:rPr>
        <w:t>24 h</w:t>
      </w:r>
      <w:r w:rsidRPr="00AD194B">
        <w:rPr>
          <w:rFonts w:ascii="Times New Roman" w:hAnsi="Times New Roman" w:cs="Times New Roman"/>
        </w:rPr>
        <w:t xml:space="preserve">. </w:t>
      </w:r>
      <w:r w:rsidRPr="00AD194B">
        <w:rPr>
          <w:rFonts w:ascii="Times New Roman" w:hAnsi="Times New Roman" w:cs="Times New Roman"/>
          <w:b/>
          <w:bCs/>
        </w:rPr>
        <w:t>(B)</w:t>
      </w:r>
      <w:r w:rsidRPr="00AD194B">
        <w:rPr>
          <w:rFonts w:ascii="Times New Roman" w:hAnsi="Times New Roman" w:cs="Times New Roman"/>
        </w:rPr>
        <w:t xml:space="preserve"> </w:t>
      </w:r>
      <w:r w:rsidRPr="00AD194B">
        <w:rPr>
          <w:rFonts w:ascii="Times New Roman" w:eastAsia="等线" w:hAnsi="Times New Roman" w:cs="Times New Roman"/>
        </w:rPr>
        <w:t>Cell</w:t>
      </w:r>
      <w:r w:rsidRPr="00AD194B">
        <w:rPr>
          <w:rFonts w:ascii="Times New Roman" w:hAnsi="Times New Roman" w:cs="Times New Roman"/>
        </w:rPr>
        <w:t xml:space="preserve"> viability assay of </w:t>
      </w:r>
      <w:r>
        <w:rPr>
          <w:rFonts w:ascii="Times New Roman" w:hAnsi="Times New Roman" w:cs="Times New Roman"/>
        </w:rPr>
        <w:t xml:space="preserve">the </w:t>
      </w:r>
      <w:r w:rsidRPr="00AD194B">
        <w:rPr>
          <w:rFonts w:ascii="Times New Roman" w:hAnsi="Times New Roman" w:cs="Times New Roman"/>
        </w:rPr>
        <w:t xml:space="preserve">U251 cells treated with PBS, DMSO, NPs, and p28-NPs for </w:t>
      </w:r>
      <w:r w:rsidRPr="00AD194B">
        <w:rPr>
          <w:rFonts w:ascii="Times New Roman" w:eastAsia="等线" w:hAnsi="Times New Roman" w:cs="Times New Roman"/>
        </w:rPr>
        <w:t>24 h</w:t>
      </w:r>
      <w:r w:rsidRPr="00AD194B">
        <w:rPr>
          <w:rFonts w:ascii="Times New Roman" w:hAnsi="Times New Roman" w:cs="Times New Roman"/>
        </w:rPr>
        <w:t xml:space="preserve">. </w:t>
      </w:r>
      <w:r w:rsidRPr="00AD194B">
        <w:rPr>
          <w:rFonts w:ascii="Times New Roman" w:hAnsi="Times New Roman" w:cs="Times New Roman"/>
          <w:b/>
          <w:bCs/>
        </w:rPr>
        <w:t>(C)</w:t>
      </w:r>
      <w:r w:rsidRPr="00AD194B">
        <w:rPr>
          <w:rFonts w:ascii="Times New Roman" w:hAnsi="Times New Roman" w:cs="Times New Roman"/>
        </w:rPr>
        <w:t xml:space="preserve"> The cell viability assay showed that ferrostatin-1 could reverse the decreased cell viability</w:t>
      </w:r>
      <w:r w:rsidR="005032C9">
        <w:rPr>
          <w:rFonts w:ascii="Times New Roman" w:hAnsi="Times New Roman" w:cs="Times New Roman"/>
        </w:rPr>
        <w:t xml:space="preserve"> </w:t>
      </w:r>
      <w:r w:rsidR="005032C9" w:rsidRPr="005032C9">
        <w:rPr>
          <w:rFonts w:ascii="Times New Roman" w:hAnsi="Times New Roman" w:cs="Times New Roman"/>
        </w:rPr>
        <w:t>(absorbance value at 450 nm)</w:t>
      </w:r>
      <w:r w:rsidRPr="00AD194B">
        <w:rPr>
          <w:rFonts w:ascii="Times New Roman" w:hAnsi="Times New Roman" w:cs="Times New Roman"/>
        </w:rPr>
        <w:t xml:space="preserve"> in </w:t>
      </w:r>
      <w:r>
        <w:rPr>
          <w:rFonts w:ascii="Times New Roman" w:hAnsi="Times New Roman" w:cs="Times New Roman"/>
        </w:rPr>
        <w:t xml:space="preserve">the </w:t>
      </w:r>
      <w:r w:rsidRPr="00AD194B">
        <w:rPr>
          <w:rFonts w:ascii="Times New Roman" w:hAnsi="Times New Roman" w:cs="Times New Roman"/>
        </w:rPr>
        <w:t xml:space="preserve">U87 cells induced by NPs-FAT and p28-NPs-FAT. </w:t>
      </w:r>
      <w:r w:rsidRPr="00AD194B">
        <w:rPr>
          <w:rFonts w:ascii="Times New Roman" w:hAnsi="Times New Roman" w:cs="Times New Roman"/>
          <w:b/>
          <w:bCs/>
        </w:rPr>
        <w:t>(D)</w:t>
      </w:r>
      <w:r w:rsidRPr="00AD194B">
        <w:rPr>
          <w:rFonts w:ascii="Times New Roman" w:hAnsi="Times New Roman" w:cs="Times New Roman"/>
        </w:rPr>
        <w:t xml:space="preserve"> The cell viability assay showed that ferrostatin-1 could reverse the decreased cell viability</w:t>
      </w:r>
      <w:r w:rsidR="005032C9">
        <w:rPr>
          <w:rFonts w:ascii="Times New Roman" w:hAnsi="Times New Roman" w:cs="Times New Roman"/>
        </w:rPr>
        <w:t xml:space="preserve"> </w:t>
      </w:r>
      <w:r w:rsidR="005032C9" w:rsidRPr="005032C9">
        <w:rPr>
          <w:rFonts w:ascii="Times New Roman" w:hAnsi="Times New Roman" w:cs="Times New Roman"/>
        </w:rPr>
        <w:t>(absorbance value at 450 nm)</w:t>
      </w:r>
      <w:r w:rsidRPr="00AD194B">
        <w:rPr>
          <w:rFonts w:ascii="Times New Roman" w:hAnsi="Times New Roman" w:cs="Times New Roman"/>
        </w:rPr>
        <w:t xml:space="preserve"> in </w:t>
      </w:r>
      <w:r>
        <w:rPr>
          <w:rFonts w:ascii="Times New Roman" w:hAnsi="Times New Roman" w:cs="Times New Roman"/>
        </w:rPr>
        <w:t xml:space="preserve">the </w:t>
      </w:r>
      <w:r w:rsidRPr="00AD194B">
        <w:rPr>
          <w:rFonts w:ascii="Times New Roman" w:hAnsi="Times New Roman" w:cs="Times New Roman"/>
        </w:rPr>
        <w:t xml:space="preserve">U251 cells induced by NPs-FAT and p28-NPs-FAT. </w:t>
      </w:r>
      <w:r w:rsidRPr="00AD194B">
        <w:rPr>
          <w:rFonts w:ascii="Times New Roman" w:hAnsi="Times New Roman" w:cs="Times New Roman"/>
          <w:b/>
          <w:bCs/>
        </w:rPr>
        <w:t>(E)</w:t>
      </w:r>
      <w:r w:rsidRPr="00AD194B">
        <w:rPr>
          <w:rFonts w:ascii="Times New Roman" w:hAnsi="Times New Roman" w:cs="Times New Roman"/>
        </w:rPr>
        <w:t xml:space="preserve"> Representative bioluminescence images from IVIS imaging showed the tumor luciferase signal in </w:t>
      </w:r>
      <w:r>
        <w:rPr>
          <w:rFonts w:ascii="Times New Roman" w:hAnsi="Times New Roman" w:cs="Times New Roman"/>
        </w:rPr>
        <w:t xml:space="preserve">the </w:t>
      </w:r>
      <w:r w:rsidRPr="00AD194B">
        <w:rPr>
          <w:rFonts w:ascii="Times New Roman" w:hAnsi="Times New Roman" w:cs="Times New Roman"/>
        </w:rPr>
        <w:t>mice of different treatment groups (PBS, DMSO, NPs, and p28-NPs) at 1, 3, and 5 weeks.</w:t>
      </w:r>
      <w:r w:rsidRPr="00AD194B">
        <w:rPr>
          <w:rFonts w:ascii="Times New Roman" w:hAnsi="Times New Roman" w:cs="Times New Roman"/>
          <w:i/>
          <w:iCs/>
        </w:rPr>
        <w:t xml:space="preserve"> *P</w:t>
      </w:r>
      <w:r w:rsidRPr="00AD194B">
        <w:rPr>
          <w:rFonts w:ascii="Times New Roman" w:hAnsi="Times New Roman" w:cs="Times New Roman"/>
        </w:rPr>
        <w:t xml:space="preserve"> &lt; 0.05, </w:t>
      </w:r>
      <w:r w:rsidRPr="00AD194B">
        <w:rPr>
          <w:rFonts w:ascii="Times New Roman" w:hAnsi="Times New Roman" w:cs="Times New Roman"/>
          <w:i/>
          <w:iCs/>
        </w:rPr>
        <w:t>**P</w:t>
      </w:r>
      <w:r w:rsidRPr="00AD194B">
        <w:rPr>
          <w:rFonts w:ascii="Times New Roman" w:hAnsi="Times New Roman" w:cs="Times New Roman"/>
        </w:rPr>
        <w:t xml:space="preserve"> &lt;0.01, </w:t>
      </w:r>
      <w:r w:rsidRPr="00AD194B">
        <w:rPr>
          <w:rFonts w:ascii="Times New Roman" w:hAnsi="Times New Roman" w:cs="Times New Roman"/>
          <w:i/>
          <w:iCs/>
        </w:rPr>
        <w:t>***P</w:t>
      </w:r>
      <w:r w:rsidRPr="00AD194B">
        <w:rPr>
          <w:rFonts w:ascii="Times New Roman" w:hAnsi="Times New Roman" w:cs="Times New Roman"/>
        </w:rPr>
        <w:t xml:space="preserve"> &lt; 0.001; ns: no significance.</w:t>
      </w:r>
    </w:p>
    <w:p w14:paraId="2A196D36" w14:textId="77777777" w:rsidR="00301553" w:rsidRPr="00AD194B" w:rsidRDefault="00301553" w:rsidP="0030155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2CC9E92" w14:textId="2CC116DB" w:rsidR="00461229" w:rsidRPr="00301553" w:rsidRDefault="00461229" w:rsidP="00301553"/>
    <w:sectPr w:rsidR="00461229" w:rsidRPr="00301553" w:rsidSect="00171152">
      <w:footerReference w:type="default" r:id="rId6"/>
      <w:pgSz w:w="11906" w:h="16838"/>
      <w:pgMar w:top="1440" w:right="2880" w:bottom="1440" w:left="288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02E94" w14:textId="77777777" w:rsidR="005E5B26" w:rsidRDefault="005E5B26" w:rsidP="00256284">
      <w:r>
        <w:separator/>
      </w:r>
    </w:p>
  </w:endnote>
  <w:endnote w:type="continuationSeparator" w:id="0">
    <w:p w14:paraId="3109F43C" w14:textId="77777777" w:rsidR="005E5B26" w:rsidRDefault="005E5B26" w:rsidP="00256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44611857"/>
      <w:docPartObj>
        <w:docPartGallery w:val="Page Numbers (Bottom of Page)"/>
        <w:docPartUnique/>
      </w:docPartObj>
    </w:sdtPr>
    <w:sdtContent>
      <w:p w14:paraId="2C7F6944" w14:textId="77777777" w:rsidR="00171152" w:rsidRPr="00AD194B" w:rsidRDefault="00000000">
        <w:pPr>
          <w:pStyle w:val="a5"/>
          <w:jc w:val="center"/>
        </w:pPr>
        <w:r w:rsidRPr="00AD194B">
          <w:fldChar w:fldCharType="begin"/>
        </w:r>
        <w:r w:rsidRPr="00AD194B">
          <w:instrText>PAGE   \* MERGEFORMAT</w:instrText>
        </w:r>
        <w:r w:rsidRPr="00AD194B">
          <w:fldChar w:fldCharType="separate"/>
        </w:r>
        <w:r w:rsidRPr="00AD194B">
          <w:t>2</w:t>
        </w:r>
        <w:r w:rsidRPr="00AD194B">
          <w:fldChar w:fldCharType="end"/>
        </w:r>
      </w:p>
    </w:sdtContent>
  </w:sdt>
  <w:p w14:paraId="2EF61578" w14:textId="77777777" w:rsidR="00171152" w:rsidRPr="00AD194B" w:rsidRDefault="00000000">
    <w:pPr>
      <w:pStyle w:val="a5"/>
    </w:pPr>
  </w:p>
  <w:p w14:paraId="31A2662D" w14:textId="77777777" w:rsidR="00632620" w:rsidRDefault="00000000"/>
  <w:p w14:paraId="3E368E0F" w14:textId="77777777" w:rsidR="00632620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F4025" w14:textId="77777777" w:rsidR="005E5B26" w:rsidRDefault="005E5B26" w:rsidP="00256284">
      <w:r>
        <w:separator/>
      </w:r>
    </w:p>
  </w:footnote>
  <w:footnote w:type="continuationSeparator" w:id="0">
    <w:p w14:paraId="69807900" w14:textId="77777777" w:rsidR="005E5B26" w:rsidRDefault="005E5B26" w:rsidP="002562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262"/>
    <w:rsid w:val="000019FC"/>
    <w:rsid w:val="000B689D"/>
    <w:rsid w:val="000E4C19"/>
    <w:rsid w:val="00180190"/>
    <w:rsid w:val="00256284"/>
    <w:rsid w:val="00296305"/>
    <w:rsid w:val="002E755C"/>
    <w:rsid w:val="00301553"/>
    <w:rsid w:val="00377937"/>
    <w:rsid w:val="00461229"/>
    <w:rsid w:val="00461B1B"/>
    <w:rsid w:val="005032C9"/>
    <w:rsid w:val="005C41CD"/>
    <w:rsid w:val="005E5B26"/>
    <w:rsid w:val="00694262"/>
    <w:rsid w:val="00936E45"/>
    <w:rsid w:val="00B635B6"/>
    <w:rsid w:val="00BA2F8F"/>
    <w:rsid w:val="00C41DB4"/>
    <w:rsid w:val="00DB17E6"/>
    <w:rsid w:val="00E6240F"/>
    <w:rsid w:val="00E900FA"/>
    <w:rsid w:val="00F7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09425"/>
  <w15:chartTrackingRefBased/>
  <w15:docId w15:val="{B014F7A7-3E78-43D7-8113-CF81A94F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15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62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5628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562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56284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3015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83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305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 DOCTOR</dc:creator>
  <cp:keywords/>
  <dc:description/>
  <cp:lastModifiedBy>CAI DOCTOR</cp:lastModifiedBy>
  <cp:revision>16</cp:revision>
  <dcterms:created xsi:type="dcterms:W3CDTF">2022-10-27T16:07:00Z</dcterms:created>
  <dcterms:modified xsi:type="dcterms:W3CDTF">2023-03-08T04:39:00Z</dcterms:modified>
</cp:coreProperties>
</file>