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4888" w:rsidRDefault="00D84888" w:rsidP="00D84888">
      <w:pPr>
        <w:rPr>
          <w:rFonts w:hint="eastAsia"/>
        </w:rPr>
      </w:pPr>
    </w:p>
    <w:p w:rsidR="00D84888" w:rsidRDefault="007A7BAF" w:rsidP="00D84888">
      <w:pPr>
        <w:rPr>
          <w:rFonts w:ascii="Arial" w:hAnsi="Arial" w:cs="Arial"/>
        </w:rPr>
      </w:pPr>
      <w:r w:rsidRPr="00E33812">
        <w:rPr>
          <w:rFonts w:ascii="Arial" w:hAnsi="Arial" w:cs="Arial"/>
          <w:b/>
          <w:bCs/>
        </w:rPr>
        <w:t>Supplementary figure 1.</w:t>
      </w:r>
      <w:r w:rsidR="00D50F6F" w:rsidRPr="00E33812">
        <w:rPr>
          <w:rFonts w:ascii="Arial" w:hAnsi="Arial" w:cs="Arial"/>
          <w:b/>
          <w:bCs/>
        </w:rPr>
        <w:t xml:space="preserve"> TXNIP mRNA Expressions in CML cells. </w:t>
      </w:r>
      <w:r w:rsidRPr="00E65A02">
        <w:rPr>
          <w:rFonts w:ascii="Arial" w:hAnsi="Arial" w:cs="Arial"/>
        </w:rPr>
        <w:t xml:space="preserve">(A) TXNIP mRNA levels </w:t>
      </w:r>
      <w:r w:rsidR="008C08A7" w:rsidRPr="00E65A02">
        <w:rPr>
          <w:rFonts w:ascii="Arial" w:hAnsi="Arial" w:cs="Arial"/>
        </w:rPr>
        <w:t>were determined in K562 and KCL22 cells after TXNIP knockdown.</w:t>
      </w:r>
      <w:r w:rsidR="00194CD1" w:rsidRPr="00E65A02">
        <w:rPr>
          <w:rFonts w:ascii="Arial" w:hAnsi="Arial" w:cs="Arial"/>
        </w:rPr>
        <w:t xml:space="preserve"> (B) TXNIP mRNA levels were determined in K562, K562G and K562R cells. </w:t>
      </w:r>
    </w:p>
    <w:p w:rsidR="003A60B4" w:rsidRDefault="003A60B4" w:rsidP="00D84888">
      <w:pPr>
        <w:rPr>
          <w:rFonts w:ascii="Arial" w:hAnsi="Arial" w:cs="Arial"/>
        </w:rPr>
      </w:pPr>
    </w:p>
    <w:p w:rsidR="003A60B4" w:rsidRPr="003A60B4" w:rsidRDefault="003A60B4" w:rsidP="007030CC">
      <w:pPr>
        <w:rPr>
          <w:rFonts w:ascii="Arial" w:hAnsi="Arial" w:cs="Arial" w:hint="eastAsia"/>
        </w:rPr>
      </w:pPr>
      <w:r w:rsidRPr="005703F4">
        <w:rPr>
          <w:rFonts w:ascii="Arial" w:hAnsi="Arial" w:cs="Arial" w:hint="eastAsia"/>
          <w:b/>
          <w:bCs/>
        </w:rPr>
        <w:t>Suppleme</w:t>
      </w:r>
      <w:r w:rsidRPr="005703F4">
        <w:rPr>
          <w:rFonts w:ascii="Arial" w:hAnsi="Arial" w:cs="Arial"/>
          <w:b/>
          <w:bCs/>
        </w:rPr>
        <w:t>n</w:t>
      </w:r>
      <w:r w:rsidRPr="005703F4">
        <w:rPr>
          <w:rFonts w:ascii="Arial" w:hAnsi="Arial" w:cs="Arial" w:hint="eastAsia"/>
          <w:b/>
          <w:bCs/>
        </w:rPr>
        <w:t>tary</w:t>
      </w:r>
      <w:r w:rsidRPr="005703F4">
        <w:rPr>
          <w:rFonts w:ascii="Arial" w:hAnsi="Arial" w:cs="Arial"/>
          <w:b/>
          <w:bCs/>
        </w:rPr>
        <w:t xml:space="preserve"> figure 2. </w:t>
      </w:r>
      <w:r w:rsidR="007030CC" w:rsidRPr="005703F4">
        <w:rPr>
          <w:rFonts w:ascii="Arial" w:hAnsi="Arial" w:cs="Arial"/>
          <w:b/>
          <w:bCs/>
        </w:rPr>
        <w:t>Schem</w:t>
      </w:r>
      <w:r w:rsidR="007030CC" w:rsidRPr="007030CC">
        <w:rPr>
          <w:rFonts w:ascii="Arial" w:hAnsi="Arial" w:cs="Arial"/>
          <w:b/>
          <w:bCs/>
        </w:rPr>
        <w:t>atic structures of triple gene expression and control vectors</w:t>
      </w:r>
      <w:r w:rsidR="007030CC">
        <w:rPr>
          <w:rFonts w:ascii="Arial" w:hAnsi="Arial" w:cs="Arial"/>
        </w:rPr>
        <w:t>.</w:t>
      </w:r>
      <w:r w:rsidR="007030CC" w:rsidRPr="007030CC">
        <w:rPr>
          <w:rFonts w:ascii="Arial" w:hAnsi="Arial" w:cs="Arial"/>
        </w:rPr>
        <w:t xml:space="preserve"> (</w:t>
      </w:r>
      <w:r w:rsidR="007030CC">
        <w:rPr>
          <w:rFonts w:ascii="Arial" w:hAnsi="Arial" w:cs="Arial"/>
        </w:rPr>
        <w:t>A</w:t>
      </w:r>
      <w:r w:rsidR="007030CC" w:rsidRPr="007030CC">
        <w:rPr>
          <w:rFonts w:ascii="Arial" w:hAnsi="Arial" w:cs="Arial"/>
        </w:rPr>
        <w:t>) The MSCV vector co-expressing</w:t>
      </w:r>
      <w:r w:rsidR="007030CC">
        <w:rPr>
          <w:rFonts w:ascii="Arial" w:hAnsi="Arial" w:cs="Arial" w:hint="eastAsia"/>
        </w:rPr>
        <w:t xml:space="preserve"> </w:t>
      </w:r>
      <w:r w:rsidR="007030CC" w:rsidRPr="007030CC">
        <w:rPr>
          <w:rFonts w:ascii="Arial" w:hAnsi="Arial" w:cs="Arial"/>
        </w:rPr>
        <w:t xml:space="preserve">BCR-ABL , </w:t>
      </w:r>
      <w:proofErr w:type="spellStart"/>
      <w:r w:rsidR="007030CC" w:rsidRPr="007030CC">
        <w:rPr>
          <w:rFonts w:ascii="Arial" w:hAnsi="Arial" w:cs="Arial"/>
        </w:rPr>
        <w:t>Cre</w:t>
      </w:r>
      <w:proofErr w:type="spellEnd"/>
      <w:r w:rsidR="007030CC">
        <w:rPr>
          <w:rFonts w:ascii="Arial" w:hAnsi="Arial" w:cs="Arial"/>
        </w:rPr>
        <w:t>,</w:t>
      </w:r>
      <w:r w:rsidR="007030CC" w:rsidRPr="007030CC">
        <w:rPr>
          <w:rFonts w:ascii="Arial" w:hAnsi="Arial" w:cs="Arial"/>
        </w:rPr>
        <w:t xml:space="preserve"> and GFP . (</w:t>
      </w:r>
      <w:r w:rsidR="00F03118">
        <w:rPr>
          <w:rFonts w:ascii="Arial" w:hAnsi="Arial" w:cs="Arial"/>
        </w:rPr>
        <w:t>B</w:t>
      </w:r>
      <w:r w:rsidR="007030CC" w:rsidRPr="007030CC">
        <w:rPr>
          <w:rFonts w:ascii="Arial" w:hAnsi="Arial" w:cs="Arial"/>
        </w:rPr>
        <w:t xml:space="preserve">) The MSCV vector co-expressing BCR-ABL, </w:t>
      </w:r>
      <w:r w:rsidR="00F03118">
        <w:rPr>
          <w:rFonts w:ascii="Arial" w:hAnsi="Arial" w:cs="Arial"/>
        </w:rPr>
        <w:t>TXNIP</w:t>
      </w:r>
      <w:r w:rsidR="007030CC" w:rsidRPr="007030CC">
        <w:rPr>
          <w:rFonts w:ascii="Arial" w:hAnsi="Arial" w:cs="Arial"/>
        </w:rPr>
        <w:t>, and GFP</w:t>
      </w:r>
      <w:r w:rsidR="00F03118">
        <w:rPr>
          <w:rFonts w:ascii="Arial" w:hAnsi="Arial" w:cs="Arial"/>
        </w:rPr>
        <w:t>.</w:t>
      </w:r>
    </w:p>
    <w:p w:rsidR="00040843" w:rsidRDefault="00040843" w:rsidP="00D84888">
      <w:pPr>
        <w:rPr>
          <w:rFonts w:ascii="Arial" w:hAnsi="Arial" w:cs="Arial"/>
        </w:rPr>
      </w:pPr>
    </w:p>
    <w:p w:rsidR="00E753C5" w:rsidRDefault="00E753C5" w:rsidP="00D84888">
      <w:pPr>
        <w:rPr>
          <w:rFonts w:ascii="Arial" w:hAnsi="Arial" w:cs="Arial"/>
        </w:rPr>
      </w:pPr>
      <w:r w:rsidRPr="00E753C5">
        <w:rPr>
          <w:rFonts w:ascii="Arial" w:hAnsi="Arial" w:cs="Arial"/>
          <w:b/>
          <w:bCs/>
        </w:rPr>
        <w:t xml:space="preserve">Supplementary figure </w:t>
      </w:r>
      <w:r w:rsidR="00A63381">
        <w:rPr>
          <w:rFonts w:ascii="Arial" w:hAnsi="Arial" w:cs="Arial"/>
          <w:b/>
          <w:bCs/>
        </w:rPr>
        <w:t>3</w:t>
      </w:r>
      <w:r w:rsidRPr="00E753C5">
        <w:rPr>
          <w:rFonts w:ascii="Arial" w:hAnsi="Arial" w:cs="Arial"/>
          <w:b/>
          <w:bCs/>
        </w:rPr>
        <w:t>. TXNIP knockdown promotes CML cell growth in nude mice.</w:t>
      </w:r>
      <w:r>
        <w:rPr>
          <w:rFonts w:ascii="Arial" w:hAnsi="Arial" w:cs="Arial"/>
        </w:rPr>
        <w:t xml:space="preserve"> </w:t>
      </w:r>
      <w:r w:rsidRPr="00E753C5">
        <w:rPr>
          <w:rFonts w:ascii="Arial" w:hAnsi="Arial" w:cs="Arial"/>
        </w:rPr>
        <w:t>(</w:t>
      </w:r>
      <w:r w:rsidR="003373DD">
        <w:rPr>
          <w:rFonts w:ascii="Arial" w:hAnsi="Arial" w:cs="Arial"/>
        </w:rPr>
        <w:t>A</w:t>
      </w:r>
      <w:r w:rsidRPr="00E753C5">
        <w:rPr>
          <w:rFonts w:ascii="Arial" w:hAnsi="Arial" w:cs="Arial"/>
        </w:rPr>
        <w:t>) The tumor weight were measured and analyzed. (</w:t>
      </w:r>
      <w:r w:rsidR="003373DD">
        <w:rPr>
          <w:rFonts w:ascii="Arial" w:hAnsi="Arial" w:cs="Arial"/>
        </w:rPr>
        <w:t>B</w:t>
      </w:r>
      <w:r w:rsidRPr="00E753C5">
        <w:rPr>
          <w:rFonts w:ascii="Arial" w:hAnsi="Arial" w:cs="Arial"/>
        </w:rPr>
        <w:t>-</w:t>
      </w:r>
      <w:r w:rsidR="003373DD">
        <w:rPr>
          <w:rFonts w:ascii="Arial" w:hAnsi="Arial" w:cs="Arial"/>
        </w:rPr>
        <w:t>C</w:t>
      </w:r>
      <w:r w:rsidRPr="00E753C5">
        <w:rPr>
          <w:rFonts w:ascii="Arial" w:hAnsi="Arial" w:cs="Arial"/>
        </w:rPr>
        <w:t>) Immunohistochemistry staining (</w:t>
      </w:r>
      <w:r w:rsidR="003373DD">
        <w:rPr>
          <w:rFonts w:ascii="Arial" w:hAnsi="Arial" w:cs="Arial" w:hint="eastAsia"/>
        </w:rPr>
        <w:t>B</w:t>
      </w:r>
      <w:r w:rsidRPr="00E753C5">
        <w:rPr>
          <w:rFonts w:ascii="Arial" w:hAnsi="Arial" w:cs="Arial"/>
        </w:rPr>
        <w:t>) and statistical analysis (</w:t>
      </w:r>
      <w:r w:rsidR="003373DD">
        <w:rPr>
          <w:rFonts w:ascii="Arial" w:hAnsi="Arial" w:cs="Arial"/>
        </w:rPr>
        <w:t>C</w:t>
      </w:r>
      <w:r w:rsidRPr="00E753C5">
        <w:rPr>
          <w:rFonts w:ascii="Arial" w:hAnsi="Arial" w:cs="Arial"/>
        </w:rPr>
        <w:t>) of TXNIP, c-</w:t>
      </w:r>
      <w:proofErr w:type="spellStart"/>
      <w:r w:rsidRPr="00E753C5">
        <w:rPr>
          <w:rFonts w:ascii="Arial" w:hAnsi="Arial" w:cs="Arial"/>
        </w:rPr>
        <w:t>Myc</w:t>
      </w:r>
      <w:proofErr w:type="spellEnd"/>
      <w:r w:rsidRPr="00E753C5">
        <w:rPr>
          <w:rFonts w:ascii="Arial" w:hAnsi="Arial" w:cs="Arial"/>
        </w:rPr>
        <w:t xml:space="preserve"> and Ki67 in the sections of tumor graft.</w:t>
      </w:r>
      <w:r w:rsidR="003B62AB" w:rsidRPr="003B62AB">
        <w:t xml:space="preserve"> </w:t>
      </w:r>
      <w:r w:rsidR="003B62AB" w:rsidRPr="003B62AB">
        <w:rPr>
          <w:rFonts w:ascii="Arial" w:hAnsi="Arial" w:cs="Arial"/>
        </w:rPr>
        <w:t>*** P &lt;0.001.</w:t>
      </w:r>
    </w:p>
    <w:p w:rsidR="00E753C5" w:rsidRPr="00E753C5" w:rsidRDefault="00E753C5" w:rsidP="00D84888">
      <w:pPr>
        <w:rPr>
          <w:rFonts w:ascii="Arial" w:hAnsi="Arial" w:cs="Arial"/>
        </w:rPr>
      </w:pPr>
    </w:p>
    <w:p w:rsidR="00D84888" w:rsidRPr="00E65A02" w:rsidRDefault="00040843" w:rsidP="00D84888">
      <w:pPr>
        <w:rPr>
          <w:rFonts w:ascii="Arial" w:hAnsi="Arial" w:cs="Arial"/>
        </w:rPr>
      </w:pPr>
      <w:r w:rsidRPr="00E33812">
        <w:rPr>
          <w:rFonts w:ascii="Arial" w:hAnsi="Arial" w:cs="Arial"/>
          <w:b/>
          <w:bCs/>
        </w:rPr>
        <w:t xml:space="preserve">Supplementary figure </w:t>
      </w:r>
      <w:r w:rsidR="00A63381">
        <w:rPr>
          <w:rFonts w:ascii="Arial" w:hAnsi="Arial" w:cs="Arial"/>
          <w:b/>
          <w:bCs/>
        </w:rPr>
        <w:t>4</w:t>
      </w:r>
      <w:r w:rsidRPr="00E33812">
        <w:rPr>
          <w:rFonts w:ascii="Arial" w:hAnsi="Arial" w:cs="Arial"/>
          <w:b/>
          <w:bCs/>
        </w:rPr>
        <w:t xml:space="preserve">. </w:t>
      </w:r>
      <w:r w:rsidR="00D84888" w:rsidRPr="00E33812">
        <w:rPr>
          <w:rFonts w:ascii="Arial" w:hAnsi="Arial" w:cs="Arial"/>
          <w:b/>
          <w:bCs/>
        </w:rPr>
        <w:t xml:space="preserve">Effects of </w:t>
      </w:r>
      <w:r w:rsidR="00D50F6F" w:rsidRPr="00E33812">
        <w:rPr>
          <w:rFonts w:ascii="Arial" w:hAnsi="Arial" w:cs="Arial"/>
          <w:b/>
          <w:bCs/>
        </w:rPr>
        <w:t>JQ1</w:t>
      </w:r>
      <w:r w:rsidR="00D84888" w:rsidRPr="00E33812">
        <w:rPr>
          <w:rFonts w:ascii="Arial" w:hAnsi="Arial" w:cs="Arial"/>
          <w:b/>
          <w:bCs/>
        </w:rPr>
        <w:t xml:space="preserve"> and imatinib treatment on physiological indexes</w:t>
      </w:r>
      <w:r w:rsidR="00D50F6F" w:rsidRPr="00E33812">
        <w:rPr>
          <w:rFonts w:ascii="Arial" w:hAnsi="Arial" w:cs="Arial"/>
          <w:b/>
          <w:bCs/>
        </w:rPr>
        <w:t>.</w:t>
      </w:r>
      <w:r w:rsidR="00E33812" w:rsidRPr="00E33812">
        <w:rPr>
          <w:rFonts w:ascii="Arial" w:hAnsi="Arial" w:cs="Arial" w:hint="eastAsia"/>
          <w:b/>
          <w:bCs/>
        </w:rPr>
        <w:t xml:space="preserve"> </w:t>
      </w:r>
      <w:r w:rsidR="00D50F6F" w:rsidRPr="00E65A02">
        <w:rPr>
          <w:rFonts w:ascii="Arial" w:hAnsi="Arial" w:cs="Arial"/>
        </w:rPr>
        <w:t>M</w:t>
      </w:r>
      <w:r w:rsidR="00D84888" w:rsidRPr="00E65A02">
        <w:rPr>
          <w:rFonts w:ascii="Arial" w:hAnsi="Arial" w:cs="Arial"/>
        </w:rPr>
        <w:t>ice were subjected to the same 10 day treatment with imatinib,</w:t>
      </w:r>
      <w:r w:rsidR="00D50F6F" w:rsidRPr="00E65A02">
        <w:rPr>
          <w:rFonts w:ascii="Arial" w:hAnsi="Arial" w:cs="Arial"/>
        </w:rPr>
        <w:t xml:space="preserve"> JQ1,</w:t>
      </w:r>
      <w:r w:rsidR="00D84888" w:rsidRPr="00E65A02">
        <w:rPr>
          <w:rFonts w:ascii="Arial" w:hAnsi="Arial" w:cs="Arial"/>
        </w:rPr>
        <w:t xml:space="preserve"> or combination as described in Figure 7</w:t>
      </w:r>
      <w:r w:rsidR="00D50F6F" w:rsidRPr="00E65A02">
        <w:rPr>
          <w:rFonts w:ascii="Arial" w:hAnsi="Arial" w:cs="Arial"/>
        </w:rPr>
        <w:t>G</w:t>
      </w:r>
      <w:r w:rsidR="00D84888" w:rsidRPr="00E65A02">
        <w:rPr>
          <w:rFonts w:ascii="Arial" w:hAnsi="Arial" w:cs="Arial"/>
        </w:rPr>
        <w:t>. Body weight (A) was monitored during drug treatment, and total erythrocyte counts (B) were analyzed.</w:t>
      </w:r>
    </w:p>
    <w:p w:rsidR="00C520D9" w:rsidRPr="00D84888" w:rsidRDefault="00C520D9"/>
    <w:sectPr w:rsidR="00C520D9" w:rsidRPr="00D84888" w:rsidSect="00064B5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90"/>
    <w:rsid w:val="00017758"/>
    <w:rsid w:val="00040843"/>
    <w:rsid w:val="00044F4A"/>
    <w:rsid w:val="00050663"/>
    <w:rsid w:val="000514AB"/>
    <w:rsid w:val="00064B57"/>
    <w:rsid w:val="000678C9"/>
    <w:rsid w:val="00094C0C"/>
    <w:rsid w:val="000B5390"/>
    <w:rsid w:val="001145F3"/>
    <w:rsid w:val="001312FC"/>
    <w:rsid w:val="00136FEC"/>
    <w:rsid w:val="00175A19"/>
    <w:rsid w:val="00194CD1"/>
    <w:rsid w:val="001C26D1"/>
    <w:rsid w:val="001C4A30"/>
    <w:rsid w:val="001E4EB8"/>
    <w:rsid w:val="001E69FD"/>
    <w:rsid w:val="001F170C"/>
    <w:rsid w:val="00245B6E"/>
    <w:rsid w:val="00260FEC"/>
    <w:rsid w:val="00273F9F"/>
    <w:rsid w:val="00287407"/>
    <w:rsid w:val="00297EB1"/>
    <w:rsid w:val="002B5254"/>
    <w:rsid w:val="002D1D9F"/>
    <w:rsid w:val="002D587D"/>
    <w:rsid w:val="002D73AF"/>
    <w:rsid w:val="002E5ADB"/>
    <w:rsid w:val="003300D7"/>
    <w:rsid w:val="00333149"/>
    <w:rsid w:val="003373DD"/>
    <w:rsid w:val="00345C16"/>
    <w:rsid w:val="003543F9"/>
    <w:rsid w:val="00362D9B"/>
    <w:rsid w:val="003A6008"/>
    <w:rsid w:val="003A60B4"/>
    <w:rsid w:val="003B233C"/>
    <w:rsid w:val="003B62AB"/>
    <w:rsid w:val="003D02B2"/>
    <w:rsid w:val="003D4DBA"/>
    <w:rsid w:val="003D66D1"/>
    <w:rsid w:val="003F5E2B"/>
    <w:rsid w:val="004053E1"/>
    <w:rsid w:val="00422DD4"/>
    <w:rsid w:val="00432AAA"/>
    <w:rsid w:val="00451095"/>
    <w:rsid w:val="00455D43"/>
    <w:rsid w:val="00457A37"/>
    <w:rsid w:val="0046536B"/>
    <w:rsid w:val="00481039"/>
    <w:rsid w:val="00490638"/>
    <w:rsid w:val="00492DA3"/>
    <w:rsid w:val="004C660E"/>
    <w:rsid w:val="004D2BAE"/>
    <w:rsid w:val="004E55EC"/>
    <w:rsid w:val="004E7686"/>
    <w:rsid w:val="004F7E7B"/>
    <w:rsid w:val="00505469"/>
    <w:rsid w:val="00512109"/>
    <w:rsid w:val="005279BB"/>
    <w:rsid w:val="00546891"/>
    <w:rsid w:val="005540DF"/>
    <w:rsid w:val="005703F4"/>
    <w:rsid w:val="00593130"/>
    <w:rsid w:val="005A19C5"/>
    <w:rsid w:val="005A3880"/>
    <w:rsid w:val="005B6F31"/>
    <w:rsid w:val="005B7BF1"/>
    <w:rsid w:val="005E10C2"/>
    <w:rsid w:val="005E6DFA"/>
    <w:rsid w:val="00606398"/>
    <w:rsid w:val="0062158E"/>
    <w:rsid w:val="00676CC6"/>
    <w:rsid w:val="00690D8C"/>
    <w:rsid w:val="006A08AB"/>
    <w:rsid w:val="006C479D"/>
    <w:rsid w:val="006C4CD4"/>
    <w:rsid w:val="006E5C90"/>
    <w:rsid w:val="006E6C4F"/>
    <w:rsid w:val="00700791"/>
    <w:rsid w:val="007030CC"/>
    <w:rsid w:val="007123C5"/>
    <w:rsid w:val="00741B05"/>
    <w:rsid w:val="007A3A5D"/>
    <w:rsid w:val="007A7BAF"/>
    <w:rsid w:val="007C3ECC"/>
    <w:rsid w:val="007C66BC"/>
    <w:rsid w:val="007D4515"/>
    <w:rsid w:val="008102F0"/>
    <w:rsid w:val="00880C1A"/>
    <w:rsid w:val="00890EB7"/>
    <w:rsid w:val="008C08A7"/>
    <w:rsid w:val="008E015E"/>
    <w:rsid w:val="008E4729"/>
    <w:rsid w:val="00911E39"/>
    <w:rsid w:val="00930F94"/>
    <w:rsid w:val="0093509A"/>
    <w:rsid w:val="00942D65"/>
    <w:rsid w:val="009570BC"/>
    <w:rsid w:val="009A1DDB"/>
    <w:rsid w:val="009A6D4F"/>
    <w:rsid w:val="009C48C6"/>
    <w:rsid w:val="00A01C8E"/>
    <w:rsid w:val="00A30ED7"/>
    <w:rsid w:val="00A512D6"/>
    <w:rsid w:val="00A63381"/>
    <w:rsid w:val="00A85A74"/>
    <w:rsid w:val="00A93990"/>
    <w:rsid w:val="00AF090A"/>
    <w:rsid w:val="00B26237"/>
    <w:rsid w:val="00B429DC"/>
    <w:rsid w:val="00B55761"/>
    <w:rsid w:val="00BF2EC5"/>
    <w:rsid w:val="00C015F9"/>
    <w:rsid w:val="00C434F5"/>
    <w:rsid w:val="00C47F9E"/>
    <w:rsid w:val="00C520D9"/>
    <w:rsid w:val="00CA243D"/>
    <w:rsid w:val="00CF027C"/>
    <w:rsid w:val="00CF4354"/>
    <w:rsid w:val="00D33162"/>
    <w:rsid w:val="00D41763"/>
    <w:rsid w:val="00D50F6F"/>
    <w:rsid w:val="00D61158"/>
    <w:rsid w:val="00D673C7"/>
    <w:rsid w:val="00D80457"/>
    <w:rsid w:val="00D837BA"/>
    <w:rsid w:val="00D84888"/>
    <w:rsid w:val="00D85C65"/>
    <w:rsid w:val="00D97AF1"/>
    <w:rsid w:val="00DC0848"/>
    <w:rsid w:val="00DE2EBF"/>
    <w:rsid w:val="00DF5D23"/>
    <w:rsid w:val="00DF61D4"/>
    <w:rsid w:val="00DF7803"/>
    <w:rsid w:val="00E33812"/>
    <w:rsid w:val="00E528BF"/>
    <w:rsid w:val="00E65A02"/>
    <w:rsid w:val="00E753C5"/>
    <w:rsid w:val="00E8425B"/>
    <w:rsid w:val="00EA7BD2"/>
    <w:rsid w:val="00F03118"/>
    <w:rsid w:val="00F157F9"/>
    <w:rsid w:val="00F42EFC"/>
    <w:rsid w:val="00F53E8B"/>
    <w:rsid w:val="00F6008A"/>
    <w:rsid w:val="00F87290"/>
    <w:rsid w:val="00FA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5D5933"/>
  <w15:chartTrackingRefBased/>
  <w15:docId w15:val="{15EF3EB1-1F76-F944-948A-AF696AA3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Liangliang Shen</dc:creator>
  <cp:keywords/>
  <dc:description/>
  <cp:lastModifiedBy>Liangliang Shen</cp:lastModifiedBy>
  <cp:revision>19</cp:revision>
  <dcterms:created xsi:type="dcterms:W3CDTF">2022-09-28T22:49:00Z</dcterms:created>
  <dcterms:modified xsi:type="dcterms:W3CDTF">2022-11-29T11:27:00Z</dcterms:modified>
</cp:coreProperties>
</file>