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360" w:lineRule="auto"/>
        <w:ind w:left="0" w:right="0"/>
        <w:jc w:val="both"/>
        <w:rPr>
          <w:rFonts w:hint="eastAsia" w:ascii="Times New Roman" w:hAnsi="Times New Roman" w:cs="Times New Roman"/>
          <w:b/>
          <w:bCs w:val="0"/>
          <w:kern w:val="2"/>
          <w:sz w:val="24"/>
          <w:szCs w:val="24"/>
          <w:lang w:val="en-US" w:eastAsia="zh-CN" w:bidi="ar"/>
        </w:rPr>
      </w:pPr>
      <w:r>
        <w:rPr>
          <w:rFonts w:hint="default" w:ascii="Times New Roman" w:hAnsi="Times New Roman" w:eastAsia="宋体" w:cs="Times New Roman"/>
          <w:b/>
          <w:bCs w:val="0"/>
          <w:kern w:val="2"/>
          <w:sz w:val="24"/>
          <w:szCs w:val="24"/>
          <w:lang w:val="en-US" w:eastAsia="zh-CN" w:bidi="ar"/>
        </w:rPr>
        <w:t xml:space="preserve">Supplementary </w:t>
      </w:r>
      <w:r>
        <w:rPr>
          <w:rFonts w:hint="eastAsia" w:ascii="Times New Roman" w:hAnsi="Times New Roman" w:cs="Times New Roman"/>
          <w:b/>
          <w:bCs w:val="0"/>
          <w:kern w:val="2"/>
          <w:sz w:val="24"/>
          <w:szCs w:val="24"/>
          <w:lang w:val="en-US" w:eastAsia="zh-CN" w:bidi="ar"/>
        </w:rPr>
        <w:t>figures</w:t>
      </w:r>
    </w:p>
    <w:p>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b/>
          <w:bCs w:val="0"/>
          <w:kern w:val="2"/>
          <w:sz w:val="24"/>
          <w:szCs w:val="24"/>
          <w:lang w:val="en-US" w:eastAsia="zh-CN" w:bidi="ar"/>
        </w:rPr>
      </w:pPr>
    </w:p>
    <w:p>
      <w:pPr>
        <w:keepNext w:val="0"/>
        <w:keepLines w:val="0"/>
        <w:widowControl w:val="0"/>
        <w:suppressLineNumbers w:val="0"/>
        <w:tabs>
          <w:tab w:val="left" w:pos="2025"/>
        </w:tabs>
        <w:spacing w:before="0" w:beforeAutospacing="0" w:after="0" w:afterAutospacing="0" w:line="360" w:lineRule="auto"/>
        <w:ind w:left="0" w:right="0"/>
        <w:jc w:val="both"/>
        <w:rPr>
          <w:rFonts w:hint="default" w:ascii="Times New Roman" w:hAnsi="Times New Roman" w:cs="Times New Roman"/>
          <w:sz w:val="24"/>
          <w:szCs w:val="24"/>
          <w:lang w:val="en-US"/>
        </w:rPr>
      </w:pPr>
      <w:r>
        <w:rPr>
          <w:rFonts w:hint="default" w:ascii="Calibri" w:hAnsi="Calibri" w:eastAsia="宋体" w:cs="Times New Roman"/>
          <w:kern w:val="2"/>
          <w:sz w:val="21"/>
          <w:szCs w:val="22"/>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3113405</wp:posOffset>
                </wp:positionH>
                <wp:positionV relativeFrom="paragraph">
                  <wp:posOffset>1006475</wp:posOffset>
                </wp:positionV>
                <wp:extent cx="80645" cy="45720"/>
                <wp:effectExtent l="12700" t="30480" r="20955" b="38100"/>
                <wp:wrapNone/>
                <wp:docPr id="1" name="右箭头 1"/>
                <wp:cNvGraphicFramePr/>
                <a:graphic xmlns:a="http://schemas.openxmlformats.org/drawingml/2006/main">
                  <a:graphicData uri="http://schemas.microsoft.com/office/word/2010/wordprocessingShape">
                    <wps:wsp>
                      <wps:cNvSpPr/>
                      <wps:spPr>
                        <a:xfrm>
                          <a:off x="0" y="0"/>
                          <a:ext cx="80645" cy="45720"/>
                        </a:xfrm>
                        <a:prstGeom prst="rightArrow">
                          <a:avLst>
                            <a:gd name="adj1" fmla="val 50000"/>
                            <a:gd name="adj2" fmla="val 50107"/>
                          </a:avLst>
                        </a:prstGeom>
                        <a:solidFill>
                          <a:srgbClr val="FF0000"/>
                        </a:solidFill>
                        <a:ln w="25400" cap="flat" cmpd="sng">
                          <a:solidFill>
                            <a:srgbClr val="FF0000"/>
                          </a:solidFill>
                          <a:prstDash val="solid"/>
                          <a:miter/>
                          <a:headEnd type="none" w="med" len="med"/>
                          <a:tailEnd type="none" w="med" len="med"/>
                        </a:ln>
                        <a:effectLst/>
                      </wps:spPr>
                      <wps:bodyPr wrap="square" upright="1"/>
                    </wps:wsp>
                  </a:graphicData>
                </a:graphic>
              </wp:anchor>
            </w:drawing>
          </mc:Choice>
          <mc:Fallback>
            <w:pict>
              <v:shape id="_x0000_s1026" o:spid="_x0000_s1026" o:spt="13" type="#_x0000_t13" style="position:absolute;left:0pt;margin-left:245.15pt;margin-top:79.25pt;height:3.6pt;width:6.35pt;z-index:251661312;mso-width-relative:page;mso-height-relative:page;" fillcolor="#FF0000" filled="t" stroked="t" coordsize="21600,21600" o:gfxdata="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sAZXm1gAAAAsBAAAPAAAAAAAAAAEAIAAAACIAAABkcnMvZG93bnJldi54bWxQSwECFAAU&#10;AAAACACHTuJAyQcrsSwCAACSBAAADgAAAAAAAAABACAAAAAlAQAAZHJzL2Uyb0RvYy54bWxQSwUG&#10;AAAAAAYABgBZAQAAwwUAAAAA&#10;" adj="15465,5400">
                <v:fill on="t" focussize="0,0"/>
                <v:stroke weight="2pt" color="#FF0000" joinstyle="miter"/>
                <v:imagedata o:title=""/>
                <o:lock v:ext="edit" aspectratio="f"/>
              </v:shape>
            </w:pict>
          </mc:Fallback>
        </mc:AlternateContent>
      </w:r>
      <w:r>
        <w:rPr>
          <w:rFonts w:hint="default" w:ascii="Calibri" w:hAnsi="Calibri" w:eastAsia="宋体" w:cs="Times New Roman"/>
          <w:kern w:val="2"/>
          <w:sz w:val="21"/>
          <w:szCs w:val="22"/>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1877695</wp:posOffset>
                </wp:positionH>
                <wp:positionV relativeFrom="paragraph">
                  <wp:posOffset>1162685</wp:posOffset>
                </wp:positionV>
                <wp:extent cx="80645" cy="45720"/>
                <wp:effectExtent l="12700" t="30480" r="20955" b="38100"/>
                <wp:wrapNone/>
                <wp:docPr id="2" name="右箭头 2"/>
                <wp:cNvGraphicFramePr/>
                <a:graphic xmlns:a="http://schemas.openxmlformats.org/drawingml/2006/main">
                  <a:graphicData uri="http://schemas.microsoft.com/office/word/2010/wordprocessingShape">
                    <wps:wsp>
                      <wps:cNvSpPr/>
                      <wps:spPr>
                        <a:xfrm>
                          <a:off x="0" y="0"/>
                          <a:ext cx="80645" cy="45720"/>
                        </a:xfrm>
                        <a:prstGeom prst="rightArrow">
                          <a:avLst>
                            <a:gd name="adj1" fmla="val 50000"/>
                            <a:gd name="adj2" fmla="val 50107"/>
                          </a:avLst>
                        </a:prstGeom>
                        <a:solidFill>
                          <a:srgbClr val="FF0000"/>
                        </a:solidFill>
                        <a:ln w="25400" cap="flat" cmpd="sng">
                          <a:solidFill>
                            <a:srgbClr val="FF0000"/>
                          </a:solidFill>
                          <a:prstDash val="solid"/>
                          <a:miter/>
                          <a:headEnd type="none" w="med" len="med"/>
                          <a:tailEnd type="none" w="med" len="med"/>
                        </a:ln>
                        <a:effectLst/>
                      </wps:spPr>
                      <wps:bodyPr wrap="square" upright="1"/>
                    </wps:wsp>
                  </a:graphicData>
                </a:graphic>
              </wp:anchor>
            </w:drawing>
          </mc:Choice>
          <mc:Fallback>
            <w:pict>
              <v:shape id="_x0000_s1026" o:spid="_x0000_s1026" o:spt="13" type="#_x0000_t13" style="position:absolute;left:0pt;margin-left:147.85pt;margin-top:91.55pt;height:3.6pt;width:6.35pt;z-index:251660288;mso-width-relative:page;mso-height-relative:page;" fillcolor="#FF0000" filled="t" stroked="t" coordsize="21600,21600" o:gfxdata="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Vlx9cAAAALAQAADwAAAAAAAAABACAAAAAiAAAAZHJzL2Rvd25yZXYueG1sUEsB&#10;AhQAFAAAAAgAh07iQLgcn/gvAgAAkgQAAA4AAAAAAAAAAQAgAAAAJgEAAGRycy9lMm9Eb2MueG1s&#10;UEsFBgAAAAAGAAYAWQEAAMcFAAAAAA==&#10;" adj="15465,5400">
                <v:fill on="t" focussize="0,0"/>
                <v:stroke weight="2pt" color="#FF0000" joinstyle="miter"/>
                <v:imagedata o:title=""/>
                <o:lock v:ext="edit" aspectratio="f"/>
              </v:shape>
            </w:pict>
          </mc:Fallback>
        </mc:AlternateContent>
      </w:r>
      <w:r>
        <w:rPr>
          <w:rFonts w:hint="default" w:ascii="Calibri" w:hAnsi="Calibri" w:eastAsia="宋体" w:cs="Times New Roman"/>
          <w:kern w:val="2"/>
          <w:sz w:val="21"/>
          <w:szCs w:val="22"/>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707390</wp:posOffset>
                </wp:positionH>
                <wp:positionV relativeFrom="paragraph">
                  <wp:posOffset>962025</wp:posOffset>
                </wp:positionV>
                <wp:extent cx="80645" cy="45720"/>
                <wp:effectExtent l="12700" t="30480" r="20955" b="38100"/>
                <wp:wrapNone/>
                <wp:docPr id="3" name="右箭头 3"/>
                <wp:cNvGraphicFramePr/>
                <a:graphic xmlns:a="http://schemas.openxmlformats.org/drawingml/2006/main">
                  <a:graphicData uri="http://schemas.microsoft.com/office/word/2010/wordprocessingShape">
                    <wps:wsp>
                      <wps:cNvSpPr/>
                      <wps:spPr>
                        <a:xfrm>
                          <a:off x="0" y="0"/>
                          <a:ext cx="80645" cy="45720"/>
                        </a:xfrm>
                        <a:prstGeom prst="rightArrow">
                          <a:avLst>
                            <a:gd name="adj1" fmla="val 50000"/>
                            <a:gd name="adj2" fmla="val 50107"/>
                          </a:avLst>
                        </a:prstGeom>
                        <a:solidFill>
                          <a:srgbClr val="FF0000"/>
                        </a:solidFill>
                        <a:ln w="25400" cap="flat" cmpd="sng">
                          <a:solidFill>
                            <a:srgbClr val="FF0000"/>
                          </a:solidFill>
                          <a:prstDash val="solid"/>
                          <a:miter/>
                          <a:headEnd type="none" w="med" len="med"/>
                          <a:tailEnd type="none" w="med" len="med"/>
                        </a:ln>
                        <a:effectLst/>
                      </wps:spPr>
                      <wps:bodyPr wrap="square" upright="1"/>
                    </wps:wsp>
                  </a:graphicData>
                </a:graphic>
              </wp:anchor>
            </w:drawing>
          </mc:Choice>
          <mc:Fallback>
            <w:pict>
              <v:shape id="_x0000_s1026" o:spid="_x0000_s1026" o:spt="13" type="#_x0000_t13" style="position:absolute;left:0pt;margin-left:55.7pt;margin-top:75.75pt;height:3.6pt;width:6.35pt;z-index:251659264;mso-width-relative:page;mso-height-relative:page;" fillcolor="#FF0000" filled="t" stroked="t" coordsize="21600,21600" o:gfxdata="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CJZ+F1gAAAAsBAAAPAAAAAAAAAAEAIAAAACIAAABkcnMvZG93bnJldi54bWxQSwEC&#10;FAAUAAAACACHTuJAqBfcdi8CAACSBAAADgAAAAAAAAABACAAAAAlAQAAZHJzL2Uyb0RvYy54bWxQ&#10;SwUGAAAAAAYABgBZAQAAxgUAAAAA&#10;" adj="15465,5400">
                <v:fill on="t" focussize="0,0"/>
                <v:stroke weight="2pt" color="#FF0000" joinstyle="miter"/>
                <v:imagedata o:title=""/>
                <o:lock v:ext="edit" aspectratio="f"/>
              </v:shape>
            </w:pict>
          </mc:Fallback>
        </mc:AlternateContent>
      </w:r>
      <w:r>
        <w:rPr>
          <w:rFonts w:hint="default" w:ascii="Times New Roman" w:hAnsi="Times New Roman" w:eastAsia="宋体" w:cs="Times New Roman"/>
          <w:kern w:val="2"/>
          <w:sz w:val="24"/>
          <w:szCs w:val="24"/>
          <w:lang w:val="en-US" w:eastAsia="zh-CN" w:bidi="ar"/>
        </w:rPr>
        <w:drawing>
          <wp:inline distT="0" distB="0" distL="114300" distR="114300">
            <wp:extent cx="4810125" cy="1762125"/>
            <wp:effectExtent l="0" t="0" r="9525" b="9525"/>
            <wp:docPr id="5"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Fig S1"/>
                    <pic:cNvPicPr>
                      <a:picLocks noChangeAspect="1"/>
                    </pic:cNvPicPr>
                  </pic:nvPicPr>
                  <pic:blipFill>
                    <a:blip r:embed="rId4"/>
                    <a:srcRect b="47610"/>
                    <a:stretch>
                      <a:fillRect/>
                    </a:stretch>
                  </pic:blipFill>
                  <pic:spPr>
                    <a:xfrm>
                      <a:off x="0" y="0"/>
                      <a:ext cx="4810125" cy="1762125"/>
                    </a:xfrm>
                    <a:prstGeom prst="rect">
                      <a:avLst/>
                    </a:prstGeom>
                    <a:noFill/>
                    <a:ln>
                      <a:noFill/>
                    </a:ln>
                  </pic:spPr>
                </pic:pic>
              </a:graphicData>
            </a:graphic>
          </wp:inline>
        </w:drawing>
      </w:r>
    </w:p>
    <w:p>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kern w:val="2"/>
          <w:sz w:val="24"/>
          <w:szCs w:val="24"/>
          <w:lang w:val="en-US" w:eastAsia="zh-CN" w:bidi="ar"/>
        </w:rPr>
      </w:pPr>
    </w:p>
    <w:p>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Fig</w:t>
      </w:r>
      <w:r>
        <w:rPr>
          <w:rFonts w:hint="eastAsia" w:ascii="Times New Roman" w:hAnsi="Times New Roman" w:cs="Times New Roman"/>
          <w:kern w:val="2"/>
          <w:sz w:val="24"/>
          <w:szCs w:val="24"/>
          <w:lang w:val="en-US" w:eastAsia="zh-CN" w:bidi="ar"/>
        </w:rPr>
        <w:t>ure</w:t>
      </w:r>
      <w:r>
        <w:rPr>
          <w:rFonts w:hint="default" w:ascii="Times New Roman" w:hAnsi="Times New Roman" w:eastAsia="宋体" w:cs="Times New Roman"/>
          <w:kern w:val="2"/>
          <w:sz w:val="24"/>
          <w:szCs w:val="24"/>
          <w:lang w:val="en-US" w:eastAsia="zh-CN" w:bidi="ar"/>
        </w:rPr>
        <w:t xml:space="preserve"> S1. Crainial image and histology sections showed mid-low differentiated morphology of cancer cells of metastatic tumor in the brain (a) and primary cancer in the lung (b).</w:t>
      </w:r>
    </w:p>
    <w:p>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pPr>
        <w:keepNext w:val="0"/>
        <w:keepLines w:val="0"/>
        <w:widowControl w:val="0"/>
        <w:suppressLineNumbers w:val="0"/>
        <w:spacing w:before="0" w:beforeAutospacing="0" w:after="0" w:afterAutospacing="0" w:line="360" w:lineRule="auto"/>
        <w:ind w:left="0" w:right="0"/>
        <w:jc w:val="both"/>
        <w:rPr>
          <w:rFonts w:hint="eastAsia" w:ascii="Times New Roman" w:hAnsi="Times New Roman" w:cs="Times New Roman"/>
          <w:kern w:val="2"/>
          <w:sz w:val="24"/>
          <w:szCs w:val="24"/>
          <w:lang w:val="en-US" w:eastAsia="zh-CN" w:bidi="ar"/>
        </w:rPr>
      </w:pPr>
    </w:p>
    <w:p>
      <w:pPr>
        <w:spacing w:line="360" w:lineRule="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245100" cy="4447540"/>
            <wp:effectExtent l="0" t="0" r="0" b="10160"/>
            <wp:docPr id="4" name="图片 4"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3"/>
                    <pic:cNvPicPr>
                      <a:picLocks noChangeAspect="1"/>
                    </pic:cNvPicPr>
                  </pic:nvPicPr>
                  <pic:blipFill>
                    <a:blip r:embed="rId5"/>
                    <a:stretch>
                      <a:fillRect/>
                    </a:stretch>
                  </pic:blipFill>
                  <pic:spPr>
                    <a:xfrm>
                      <a:off x="0" y="0"/>
                      <a:ext cx="5245100" cy="4447540"/>
                    </a:xfrm>
                    <a:prstGeom prst="rect">
                      <a:avLst/>
                    </a:prstGeom>
                  </pic:spPr>
                </pic:pic>
              </a:graphicData>
            </a:graphic>
          </wp:inline>
        </w:drawing>
      </w:r>
    </w:p>
    <w:p>
      <w:pPr>
        <w:spacing w:line="360" w:lineRule="auto"/>
        <w:rPr>
          <w:rFonts w:hint="eastAsia" w:ascii="Times New Roman" w:hAnsi="Times New Roman" w:cs="Times New Roman"/>
          <w:sz w:val="24"/>
          <w:szCs w:val="24"/>
        </w:rPr>
      </w:pPr>
    </w:p>
    <w:p>
      <w:pPr>
        <w:spacing w:line="360" w:lineRule="auto"/>
        <w:rPr>
          <w:rFonts w:hint="eastAsia" w:ascii="Times New Roman" w:hAnsi="Times New Roman" w:cs="Times New Roman"/>
          <w:sz w:val="24"/>
          <w:szCs w:val="24"/>
        </w:rPr>
      </w:pPr>
      <w:r>
        <w:rPr>
          <w:rFonts w:hint="eastAsia" w:ascii="Times New Roman" w:hAnsi="Times New Roman" w:cs="Times New Roman"/>
          <w:sz w:val="24"/>
          <w:szCs w:val="24"/>
        </w:rPr>
        <w:t xml:space="preserve">Figure </w:t>
      </w:r>
      <w:r>
        <w:rPr>
          <w:rFonts w:hint="eastAsia" w:ascii="Times New Roman" w:hAnsi="Times New Roman" w:cs="Times New Roman"/>
          <w:sz w:val="24"/>
          <w:szCs w:val="24"/>
          <w:lang w:val="en-US" w:eastAsia="zh-CN"/>
        </w:rPr>
        <w:t>S2</w:t>
      </w:r>
      <w:r>
        <w:rPr>
          <w:rFonts w:hint="eastAsia" w:ascii="Times New Roman" w:hAnsi="Times New Roman" w:cs="Times New Roman"/>
          <w:sz w:val="24"/>
          <w:szCs w:val="24"/>
        </w:rPr>
        <w:t>. EMT analysis of cancer cells. (a) Heatmap of Epithelial and Mesenchymal markers across all cancer cells. (b) E/M marker percentage of each cell was plotted indicating that a higher mesenchymal state was shown in primary tumor tissue but (c) MTT showed propensity to epithelial state while PTT are more mesenchymal.</w:t>
      </w:r>
    </w:p>
    <w:p>
      <w:pPr>
        <w:rPr>
          <w:rFonts w:hint="eastAsia" w:ascii="Times New Roman" w:hAnsi="Times New Roman" w:cs="Times New Roman"/>
          <w:sz w:val="24"/>
          <w:szCs w:val="24"/>
        </w:rPr>
      </w:pPr>
      <w:r>
        <w:rPr>
          <w:rFonts w:hint="eastAsia" w:ascii="Times New Roman" w:hAnsi="Times New Roman" w:cs="Times New Roman"/>
          <w:sz w:val="24"/>
          <w:szCs w:val="24"/>
        </w:rPr>
        <w:br w:type="page"/>
      </w:r>
    </w:p>
    <w:p>
      <w:pPr>
        <w:spacing w:line="360" w:lineRule="auto"/>
        <w:rPr>
          <w:rFonts w:hint="eastAsia" w:ascii="Times New Roman" w:hAnsi="Times New Roman" w:cs="Times New Roman"/>
          <w:sz w:val="24"/>
          <w:szCs w:val="24"/>
        </w:rPr>
      </w:pPr>
    </w:p>
    <w:p>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273675" cy="4415790"/>
            <wp:effectExtent l="0" t="0" r="3175" b="3810"/>
            <wp:docPr id="8" name="图片 8" descr="5f8f33e7eeaabdada05aa2f61c2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f8f33e7eeaabdada05aa2f61c27981"/>
                    <pic:cNvPicPr>
                      <a:picLocks noChangeAspect="1"/>
                    </pic:cNvPicPr>
                  </pic:nvPicPr>
                  <pic:blipFill>
                    <a:blip r:embed="rId6"/>
                    <a:stretch>
                      <a:fillRect/>
                    </a:stretch>
                  </pic:blipFill>
                  <pic:spPr>
                    <a:xfrm>
                      <a:off x="0" y="0"/>
                      <a:ext cx="5273675" cy="4415790"/>
                    </a:xfrm>
                    <a:prstGeom prst="rect">
                      <a:avLst/>
                    </a:prstGeom>
                  </pic:spPr>
                </pic:pic>
              </a:graphicData>
            </a:graphic>
          </wp:inline>
        </w:drawing>
      </w:r>
      <w:bookmarkStart w:id="1" w:name="_GoBack"/>
      <w:bookmarkEnd w:id="1"/>
      <w:r>
        <w:rPr>
          <w:rFonts w:hint="eastAsia" w:ascii="Times New Roman" w:hAnsi="Times New Roman" w:cs="Times New Roman"/>
          <w:sz w:val="24"/>
          <w:szCs w:val="24"/>
          <w:lang w:val="en-US" w:eastAsia="zh-CN"/>
        </w:rPr>
        <w:t>Figure S3. EMT signature analyses in single cancer cells from 8 patients. We further expanded the dataset and investigated Epithelial markers, Mesenchymal markers and EMT related pathways hallmarks using 452 cells of all 8 patients. a) Higher Epithelial markers in metastatic cancer cells (e.g. CDH1, CLDN4, ELF3, EPCAM, KRT18, KRT7, and KRT8) and b)  Higher Mesenchymal markers in primary cancer cells (e.g. NCAM1, LAMB1, SERPINE1, TCF4, VIM, ZEB1, and ZEB2) were observed. c) The EMT Pathway signaling molecules were upregulated in metastatic cells including AKT1, MAPK1, MAPK3, RAS genes (NRAS, KRAS, and HRAS), ROS1, and PTK2.</w:t>
      </w:r>
    </w:p>
    <w:p>
      <w:pPr>
        <w:rPr>
          <w:rFonts w:hint="eastAsia" w:ascii="Times New Roman" w:hAnsi="Times New Roman" w:cs="Times New Roman"/>
          <w:sz w:val="24"/>
          <w:szCs w:val="24"/>
        </w:rPr>
      </w:pPr>
      <w:r>
        <w:rPr>
          <w:rFonts w:hint="eastAsia" w:ascii="Times New Roman" w:hAnsi="Times New Roman" w:cs="Times New Roman"/>
          <w:sz w:val="24"/>
          <w:szCs w:val="24"/>
        </w:rPr>
        <w:br w:type="page"/>
      </w:r>
    </w:p>
    <w:p>
      <w:pPr>
        <w:spacing w:line="360" w:lineRule="auto"/>
        <w:rPr>
          <w:rFonts w:hint="eastAsia" w:ascii="Times New Roman" w:hAnsi="Times New Roman" w:cs="Times New Roman"/>
          <w:sz w:val="24"/>
          <w:szCs w:val="24"/>
          <w:lang w:val="en-US" w:eastAsia="zh-CN"/>
        </w:rPr>
      </w:pPr>
    </w:p>
    <w:p>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124450" cy="4686300"/>
            <wp:effectExtent l="0" t="0" r="6350" b="0"/>
            <wp:docPr id="6" name="图片 6" descr="166885991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68859913273"/>
                    <pic:cNvPicPr>
                      <a:picLocks noChangeAspect="1"/>
                    </pic:cNvPicPr>
                  </pic:nvPicPr>
                  <pic:blipFill>
                    <a:blip r:embed="rId7"/>
                    <a:stretch>
                      <a:fillRect/>
                    </a:stretch>
                  </pic:blipFill>
                  <pic:spPr>
                    <a:xfrm>
                      <a:off x="0" y="0"/>
                      <a:ext cx="5124450" cy="4686300"/>
                    </a:xfrm>
                    <a:prstGeom prst="rect">
                      <a:avLst/>
                    </a:prstGeom>
                  </pic:spPr>
                </pic:pic>
              </a:graphicData>
            </a:graphic>
          </wp:inline>
        </w:drawing>
      </w:r>
    </w:p>
    <w:p>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Figure S4. qPCR to verify that RAC1 expression was positively correlated with MUC1, MUC20, CEACAM5, and CCL20, and negatively correlated with TIMP3 and MGP.</w:t>
      </w:r>
    </w:p>
    <w:p>
      <w:pPr>
        <w:spacing w:line="360" w:lineRule="auto"/>
        <w:rPr>
          <w:rFonts w:hint="default" w:ascii="Times New Roman" w:hAnsi="Times New Roman" w:eastAsia="宋体" w:cs="Times New Roman"/>
          <w:sz w:val="24"/>
          <w:szCs w:val="24"/>
          <w:lang w:val="en-US" w:eastAsia="zh-CN"/>
        </w:rPr>
      </w:pPr>
    </w:p>
    <w:p>
      <w:pPr>
        <w:spacing w:line="360" w:lineRule="auto"/>
        <w:rPr>
          <w:rFonts w:hint="default" w:eastAsia="宋体"/>
          <w:lang w:val="en-US" w:eastAsia="zh-CN"/>
        </w:rPr>
      </w:pPr>
      <w:r>
        <w:rPr>
          <w:rFonts w:hint="default" w:eastAsia="宋体"/>
          <w:lang w:val="en-US" w:eastAsia="zh-CN"/>
        </w:rPr>
        <w:br w:type="page"/>
      </w:r>
    </w:p>
    <w:p>
      <w:pPr>
        <w:spacing w:line="360" w:lineRule="auto"/>
        <w:rPr>
          <w:rFonts w:hint="default" w:eastAsia="宋体"/>
          <w:lang w:val="en-US" w:eastAsia="zh-CN"/>
        </w:rPr>
      </w:pPr>
      <w:r>
        <w:rPr>
          <w:rFonts w:hint="default" w:eastAsia="宋体"/>
          <w:lang w:val="en-US" w:eastAsia="zh-CN"/>
        </w:rPr>
        <w:drawing>
          <wp:inline distT="0" distB="0" distL="114300" distR="114300">
            <wp:extent cx="5264150" cy="2549525"/>
            <wp:effectExtent l="0" t="0" r="6350" b="3175"/>
            <wp:docPr id="7" name="图片 7"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5"/>
                    <pic:cNvPicPr>
                      <a:picLocks noChangeAspect="1"/>
                    </pic:cNvPicPr>
                  </pic:nvPicPr>
                  <pic:blipFill>
                    <a:blip r:embed="rId8"/>
                    <a:stretch>
                      <a:fillRect/>
                    </a:stretch>
                  </pic:blipFill>
                  <pic:spPr>
                    <a:xfrm>
                      <a:off x="0" y="0"/>
                      <a:ext cx="5264150" cy="2549525"/>
                    </a:xfrm>
                    <a:prstGeom prst="rect">
                      <a:avLst/>
                    </a:prstGeom>
                  </pic:spPr>
                </pic:pic>
              </a:graphicData>
            </a:graphic>
          </wp:inline>
        </w:drawing>
      </w:r>
    </w:p>
    <w:p>
      <w:pPr>
        <w:spacing w:line="360" w:lineRule="auto"/>
        <w:rPr>
          <w:rFonts w:hint="default" w:eastAsia="宋体"/>
          <w:lang w:val="en-US" w:eastAsia="zh-CN"/>
        </w:rPr>
      </w:pPr>
      <w:r>
        <w:rPr>
          <w:rFonts w:hint="eastAsia" w:ascii="Times New Roman" w:hAnsi="Times New Roman" w:cs="Times New Roman"/>
          <w:sz w:val="24"/>
          <w:lang w:val="en-US" w:eastAsia="zh-CN"/>
        </w:rPr>
        <w:t xml:space="preserve">Figure S5. </w:t>
      </w:r>
      <w:r>
        <w:rPr>
          <w:rFonts w:hint="default" w:ascii="Times New Roman" w:hAnsi="Times New Roman" w:eastAsia="宋体" w:cs="Times New Roman"/>
          <w:b w:val="0"/>
          <w:bCs/>
          <w:sz w:val="24"/>
          <w:highlight w:val="none"/>
          <w:lang w:val="en-US" w:eastAsia="zh-CN"/>
        </w:rPr>
        <w:t xml:space="preserve">To demonstrate the evolution of LUAD, we plotted a graph based on Monocle 2. The solid black line represented the main route of the minimal spanning tree constructed, which exhibited the backbone and order of the </w:t>
      </w:r>
      <w:r>
        <w:rPr>
          <w:rFonts w:hint="eastAsia" w:ascii="Times New Roman" w:hAnsi="Times New Roman" w:eastAsia="宋体" w:cs="Times New Roman"/>
          <w:b w:val="0"/>
          <w:bCs/>
          <w:sz w:val="24"/>
          <w:highlight w:val="none"/>
          <w:lang w:val="en-US" w:eastAsia="zh-CN"/>
        </w:rPr>
        <w:t>LUAD</w:t>
      </w:r>
      <w:r>
        <w:rPr>
          <w:rFonts w:hint="default" w:ascii="Times New Roman" w:hAnsi="Times New Roman" w:eastAsia="宋体" w:cs="Times New Roman"/>
          <w:b w:val="0"/>
          <w:bCs/>
          <w:sz w:val="24"/>
          <w:highlight w:val="none"/>
          <w:lang w:val="en-US" w:eastAsia="zh-CN"/>
        </w:rPr>
        <w:t xml:space="preserve"> development along a pseudo-temporal continuum.</w:t>
      </w:r>
      <w:r>
        <w:rPr>
          <w:rFonts w:hint="eastAsia" w:ascii="Times New Roman" w:hAnsi="Times New Roman" w:eastAsia="宋体" w:cs="Times New Roman"/>
          <w:b w:val="0"/>
          <w:bCs/>
          <w:sz w:val="24"/>
          <w:highlight w:val="none"/>
          <w:lang w:val="en-US" w:eastAsia="zh-CN"/>
        </w:rPr>
        <w:t xml:space="preserve"> The trajectory clearly showed the tree starts from 8_Pulmonary_Epithelis, goes through subgroups 6, 11, 3, 2, 7 and ends with 5_LUAD_M_S100A8. </w:t>
      </w:r>
      <w:r>
        <w:rPr>
          <w:rFonts w:ascii="Times New Roman" w:hAnsi="Times New Roman" w:cs="Times New Roman"/>
          <w:sz w:val="24"/>
        </w:rPr>
        <w:t xml:space="preserve">Based on the pseudo-temporal continuum profile, we identified representative GOBP </w:t>
      </w:r>
      <w:r>
        <w:rPr>
          <w:rFonts w:hint="eastAsia" w:ascii="Times New Roman" w:hAnsi="Times New Roman" w:cs="Times New Roman"/>
          <w:sz w:val="24"/>
          <w:lang w:val="en-US" w:eastAsia="zh-CN"/>
        </w:rPr>
        <w:t xml:space="preserve">and KEGG </w:t>
      </w:r>
      <w:r>
        <w:rPr>
          <w:rFonts w:ascii="Times New Roman" w:hAnsi="Times New Roman" w:cs="Times New Roman"/>
          <w:sz w:val="24"/>
        </w:rPr>
        <w:t xml:space="preserve">concentrating terms </w:t>
      </w:r>
      <w:bookmarkStart w:id="0" w:name="_Hlk9718896"/>
      <w:r>
        <w:rPr>
          <w:rFonts w:ascii="Times New Roman" w:hAnsi="Times New Roman" w:cs="Times New Roman"/>
          <w:sz w:val="24"/>
        </w:rPr>
        <w:t>based on regulated kernel evolutionary enriched gene</w:t>
      </w:r>
      <w:bookmarkEnd w:id="0"/>
      <w:r>
        <w:rPr>
          <w:rFonts w:ascii="Times New Roman" w:hAnsi="Times New Roman" w:cs="Times New Roman"/>
          <w:sz w:val="24"/>
        </w:rPr>
        <w:t>s functional annotations.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ZjcwNjMxNDMzMDE3Yzg2MmVlMjY4ZTMxNTY4YWYifQ=="/>
  </w:docVars>
  <w:rsids>
    <w:rsidRoot w:val="00000000"/>
    <w:rsid w:val="091C163A"/>
    <w:rsid w:val="19472B07"/>
    <w:rsid w:val="1C86337D"/>
    <w:rsid w:val="261964ED"/>
    <w:rsid w:val="33380B93"/>
    <w:rsid w:val="337438E5"/>
    <w:rsid w:val="346C4377"/>
    <w:rsid w:val="35365838"/>
    <w:rsid w:val="3FC9113A"/>
    <w:rsid w:val="4005197E"/>
    <w:rsid w:val="4C0D00D2"/>
    <w:rsid w:val="4CD07C03"/>
    <w:rsid w:val="4CEE3B5E"/>
    <w:rsid w:val="5C403D31"/>
    <w:rsid w:val="5C6A684D"/>
    <w:rsid w:val="6F6F7E1A"/>
    <w:rsid w:val="7112283E"/>
    <w:rsid w:val="7F2C6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456</Words>
  <Characters>3712</Characters>
  <Lines>0</Lines>
  <Paragraphs>0</Paragraphs>
  <TotalTime>19</TotalTime>
  <ScaleCrop>false</ScaleCrop>
  <LinksUpToDate>false</LinksUpToDate>
  <CharactersWithSpaces>3884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2021-06-11T08:35:00Z</dcterms:created>
  <dc:creator>Administrator</dc:creator>
  <cp:lastModifiedBy>sibo</cp:lastModifiedBy>
  <dcterms:modified xsi:type="dcterms:W3CDTF">2022-11-19T14:34:48Z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C68271E951394941BCC68EFF72B0FFC1</vt:lpwstr>
  </property>
</Properties>
</file>