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25" w:rsidRPr="00A842F7" w:rsidRDefault="00AC3025" w:rsidP="00AC3025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842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6B1C0E" wp14:editId="47201B41">
            <wp:extent cx="5400040" cy="3194123"/>
            <wp:effectExtent l="0" t="0" r="0" b="635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9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025" w:rsidRPr="00A842F7" w:rsidRDefault="00AC3025" w:rsidP="00AC30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42F7">
        <w:rPr>
          <w:rFonts w:ascii="Times New Roman" w:hAnsi="Times New Roman" w:cs="Times New Roman"/>
          <w:b/>
          <w:bCs/>
          <w:sz w:val="24"/>
          <w:szCs w:val="24"/>
        </w:rPr>
        <w:t>Fig. S1.</w:t>
      </w:r>
      <w:r w:rsidRPr="00A842F7">
        <w:rPr>
          <w:rFonts w:ascii="Times New Roman" w:hAnsi="Times New Roman" w:cs="Times New Roman"/>
          <w:sz w:val="24"/>
          <w:szCs w:val="24"/>
        </w:rPr>
        <w:t xml:space="preserve"> </w:t>
      </w:r>
      <w:r w:rsidRPr="00A842F7">
        <w:rPr>
          <w:rFonts w:ascii="Times New Roman" w:hAnsi="Times New Roman" w:cs="Times New Roman"/>
          <w:b/>
          <w:bCs/>
          <w:sz w:val="24"/>
          <w:szCs w:val="24"/>
        </w:rPr>
        <w:t>Synthesis of H</w:t>
      </w:r>
      <w:r w:rsidRPr="00A842F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A842F7">
        <w:rPr>
          <w:rFonts w:ascii="Times New Roman" w:hAnsi="Times New Roman" w:cs="Times New Roman"/>
          <w:b/>
          <w:bCs/>
          <w:sz w:val="24"/>
          <w:szCs w:val="24"/>
        </w:rPr>
        <w:t>N-ACR.</w:t>
      </w:r>
      <w:r w:rsidRPr="00A842F7">
        <w:rPr>
          <w:rFonts w:ascii="Times New Roman" w:hAnsi="Times New Roman" w:cs="Times New Roman"/>
          <w:sz w:val="24"/>
          <w:szCs w:val="24"/>
        </w:rPr>
        <w:t xml:space="preserve"> Oxidation of farnesyl acetate by a previously reported method </w:t>
      </w: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Pr="00A842F7">
        <w:rPr>
          <w:rFonts w:ascii="Times New Roman" w:hAnsi="Times New Roman" w:cs="Times New Roman"/>
          <w:sz w:val="24"/>
          <w:szCs w:val="24"/>
        </w:rPr>
        <w:t>using selenium dioxide provided the hydroxy-farnesyl acetate</w:t>
      </w:r>
      <w:r w:rsidRPr="00A842F7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A842F7">
        <w:rPr>
          <w:rFonts w:ascii="Times New Roman" w:hAnsi="Times New Roman" w:cs="Times New Roman"/>
          <w:sz w:val="24"/>
          <w:szCs w:val="24"/>
        </w:rPr>
        <w:t xml:space="preserve">. After protection of the hydroxyl group, reduction of the silyloxy–acetate </w:t>
      </w:r>
      <w:r w:rsidRPr="00A842F7">
        <w:rPr>
          <w:rFonts w:ascii="Times New Roman" w:hAnsi="Times New Roman" w:cs="Times New Roman"/>
          <w:b/>
          <w:sz w:val="24"/>
          <w:szCs w:val="24"/>
        </w:rPr>
        <w:t>2</w:t>
      </w:r>
      <w:r w:rsidRPr="00A842F7">
        <w:rPr>
          <w:rFonts w:ascii="Times New Roman" w:hAnsi="Times New Roman" w:cs="Times New Roman"/>
          <w:sz w:val="24"/>
          <w:szCs w:val="24"/>
        </w:rPr>
        <w:t xml:space="preserve"> and subsequent MnO</w:t>
      </w:r>
      <w:r w:rsidRPr="00A842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42F7">
        <w:rPr>
          <w:rFonts w:ascii="Times New Roman" w:hAnsi="Times New Roman" w:cs="Times New Roman"/>
          <w:sz w:val="24"/>
          <w:szCs w:val="24"/>
        </w:rPr>
        <w:t xml:space="preserve"> oxidation provided the aldehyde </w:t>
      </w:r>
      <w:r w:rsidRPr="00A842F7">
        <w:rPr>
          <w:rFonts w:ascii="Times New Roman" w:hAnsi="Times New Roman" w:cs="Times New Roman"/>
          <w:b/>
          <w:sz w:val="24"/>
          <w:szCs w:val="24"/>
        </w:rPr>
        <w:t>3</w:t>
      </w:r>
      <w:r w:rsidRPr="00A842F7">
        <w:rPr>
          <w:rFonts w:ascii="Times New Roman" w:hAnsi="Times New Roman" w:cs="Times New Roman"/>
          <w:sz w:val="24"/>
          <w:szCs w:val="24"/>
        </w:rPr>
        <w:t xml:space="preserve">. Condensation of </w:t>
      </w:r>
      <w:r w:rsidRPr="00A842F7">
        <w:rPr>
          <w:rFonts w:ascii="Times New Roman" w:hAnsi="Times New Roman" w:cs="Times New Roman"/>
          <w:b/>
          <w:sz w:val="24"/>
          <w:szCs w:val="24"/>
        </w:rPr>
        <w:t>3</w:t>
      </w:r>
      <w:r w:rsidRPr="00A842F7">
        <w:rPr>
          <w:rFonts w:ascii="Times New Roman" w:hAnsi="Times New Roman" w:cs="Times New Roman"/>
          <w:sz w:val="24"/>
          <w:szCs w:val="24"/>
        </w:rPr>
        <w:t xml:space="preserve"> with the phosphonate </w:t>
      </w:r>
      <w:r w:rsidRPr="00A842F7">
        <w:rPr>
          <w:rFonts w:ascii="Times New Roman" w:hAnsi="Times New Roman" w:cs="Times New Roman"/>
          <w:b/>
          <w:sz w:val="24"/>
          <w:szCs w:val="24"/>
        </w:rPr>
        <w:t>4</w:t>
      </w:r>
      <w:r w:rsidRPr="00A842F7">
        <w:rPr>
          <w:rFonts w:ascii="Times New Roman" w:hAnsi="Times New Roman" w:cs="Times New Roman"/>
          <w:sz w:val="24"/>
          <w:szCs w:val="24"/>
        </w:rPr>
        <w:t xml:space="preserve"> gave the silyloxy–ester </w:t>
      </w:r>
      <w:r w:rsidRPr="00A842F7">
        <w:rPr>
          <w:rFonts w:ascii="Times New Roman" w:hAnsi="Times New Roman" w:cs="Times New Roman"/>
          <w:b/>
          <w:sz w:val="24"/>
          <w:szCs w:val="24"/>
        </w:rPr>
        <w:t>5</w:t>
      </w:r>
      <w:r w:rsidRPr="00A842F7">
        <w:rPr>
          <w:rFonts w:ascii="Times New Roman" w:hAnsi="Times New Roman" w:cs="Times New Roman"/>
          <w:sz w:val="24"/>
          <w:szCs w:val="24"/>
        </w:rPr>
        <w:t>, which was treated with acid and the resulting alcohol was oxidized with MnO</w:t>
      </w:r>
      <w:r w:rsidRPr="00A842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42F7">
        <w:rPr>
          <w:rFonts w:ascii="Times New Roman" w:hAnsi="Times New Roman" w:cs="Times New Roman"/>
          <w:sz w:val="24"/>
          <w:szCs w:val="24"/>
        </w:rPr>
        <w:t xml:space="preserve"> to yield the formyl-ester </w:t>
      </w:r>
      <w:r w:rsidRPr="00A842F7">
        <w:rPr>
          <w:rFonts w:ascii="Times New Roman" w:hAnsi="Times New Roman" w:cs="Times New Roman"/>
          <w:b/>
          <w:sz w:val="24"/>
          <w:szCs w:val="24"/>
        </w:rPr>
        <w:t>6</w:t>
      </w:r>
      <w:r w:rsidRPr="00A842F7">
        <w:rPr>
          <w:rFonts w:ascii="Times New Roman" w:hAnsi="Times New Roman" w:cs="Times New Roman"/>
          <w:sz w:val="24"/>
          <w:szCs w:val="24"/>
        </w:rPr>
        <w:t xml:space="preserve">. This was then converted into oxime </w:t>
      </w:r>
      <w:r w:rsidRPr="00A842F7">
        <w:rPr>
          <w:rFonts w:ascii="Times New Roman" w:hAnsi="Times New Roman" w:cs="Times New Roman"/>
          <w:b/>
          <w:sz w:val="24"/>
          <w:szCs w:val="24"/>
        </w:rPr>
        <w:t>7</w:t>
      </w:r>
      <w:r w:rsidRPr="00A842F7">
        <w:rPr>
          <w:rFonts w:ascii="Times New Roman" w:hAnsi="Times New Roman" w:cs="Times New Roman"/>
          <w:sz w:val="24"/>
          <w:szCs w:val="24"/>
        </w:rPr>
        <w:t xml:space="preserve"> and subjected to reduction </w:t>
      </w:r>
      <w:r>
        <w:rPr>
          <w:rFonts w:ascii="Times New Roman" w:hAnsi="Times New Roman" w:cs="Times New Roman"/>
          <w:sz w:val="24"/>
          <w:szCs w:val="24"/>
        </w:rPr>
        <w:t>(2)</w:t>
      </w:r>
      <w:r w:rsidRPr="00A842F7">
        <w:rPr>
          <w:rFonts w:ascii="Times New Roman" w:hAnsi="Times New Roman" w:cs="Times New Roman"/>
          <w:sz w:val="24"/>
          <w:szCs w:val="24"/>
        </w:rPr>
        <w:t xml:space="preserve"> with NaBH</w:t>
      </w:r>
      <w:r w:rsidRPr="00A842F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842F7">
        <w:rPr>
          <w:rFonts w:ascii="Times New Roman" w:hAnsi="Times New Roman" w:cs="Times New Roman"/>
          <w:sz w:val="24"/>
          <w:szCs w:val="24"/>
        </w:rPr>
        <w:t xml:space="preserve"> in the presence of MoO</w:t>
      </w:r>
      <w:r w:rsidRPr="00A842F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842F7">
        <w:rPr>
          <w:rFonts w:ascii="Times New Roman" w:hAnsi="Times New Roman" w:cs="Times New Roman"/>
          <w:sz w:val="24"/>
          <w:szCs w:val="24"/>
        </w:rPr>
        <w:t xml:space="preserve"> to give the amino–ester </w:t>
      </w:r>
      <w:r w:rsidRPr="00A842F7">
        <w:rPr>
          <w:rFonts w:ascii="Times New Roman" w:hAnsi="Times New Roman" w:cs="Times New Roman"/>
          <w:b/>
          <w:sz w:val="24"/>
          <w:szCs w:val="24"/>
        </w:rPr>
        <w:t>8</w:t>
      </w:r>
      <w:r w:rsidRPr="00A842F7">
        <w:rPr>
          <w:rFonts w:ascii="Times New Roman" w:hAnsi="Times New Roman" w:cs="Times New Roman"/>
          <w:sz w:val="24"/>
          <w:szCs w:val="24"/>
        </w:rPr>
        <w:t xml:space="preserve">, accompanied by dimeric secondary amine </w:t>
      </w:r>
      <w:r w:rsidRPr="00A842F7">
        <w:rPr>
          <w:rFonts w:ascii="Times New Roman" w:hAnsi="Times New Roman" w:cs="Times New Roman"/>
          <w:b/>
          <w:sz w:val="24"/>
          <w:szCs w:val="24"/>
        </w:rPr>
        <w:t>9</w:t>
      </w:r>
      <w:r w:rsidRPr="00A842F7">
        <w:rPr>
          <w:rFonts w:ascii="Times New Roman" w:hAnsi="Times New Roman" w:cs="Times New Roman"/>
          <w:sz w:val="24"/>
          <w:szCs w:val="24"/>
        </w:rPr>
        <w:t xml:space="preserve">. Basic hydrolysis of </w:t>
      </w:r>
      <w:r w:rsidRPr="00A842F7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Pr="00A842F7">
        <w:rPr>
          <w:rFonts w:ascii="Times New Roman" w:hAnsi="Times New Roman" w:cs="Times New Roman"/>
          <w:sz w:val="24"/>
          <w:szCs w:val="24"/>
        </w:rPr>
        <w:t>and purification by ion-exchange chromatography generated the desired H</w:t>
      </w:r>
      <w:r w:rsidRPr="00A842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42F7">
        <w:rPr>
          <w:rFonts w:ascii="Times New Roman" w:hAnsi="Times New Roman" w:cs="Times New Roman"/>
          <w:sz w:val="24"/>
          <w:szCs w:val="24"/>
        </w:rPr>
        <w:t>N-ACR.</w:t>
      </w:r>
    </w:p>
    <w:p w:rsidR="00A859C7" w:rsidRDefault="00A859C7" w:rsidP="00A859C7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A859C7" w:rsidRPr="00A842F7" w:rsidRDefault="00A859C7" w:rsidP="00A859C7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A842F7">
        <w:rPr>
          <w:rFonts w:ascii="Times New Roman" w:hAnsi="Times New Roman" w:cs="Times New Roman"/>
          <w:b/>
          <w:sz w:val="24"/>
          <w:szCs w:val="24"/>
        </w:rPr>
        <w:t>Supplementary Reference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</w:p>
    <w:p w:rsidR="00A859C7" w:rsidRPr="00A859C7" w:rsidRDefault="006A239C" w:rsidP="006A239C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="00A859C7" w:rsidRPr="00A859C7">
        <w:rPr>
          <w:rFonts w:ascii="Times New Roman" w:hAnsi="Times New Roman" w:cs="Times New Roman"/>
          <w:sz w:val="24"/>
          <w:szCs w:val="24"/>
        </w:rPr>
        <w:t>Wada</w:t>
      </w:r>
      <w:r>
        <w:rPr>
          <w:rFonts w:ascii="Times New Roman" w:hAnsi="Times New Roman" w:cs="Times New Roman"/>
          <w:sz w:val="24"/>
          <w:szCs w:val="24"/>
        </w:rPr>
        <w:t xml:space="preserve"> A, Wang F, Suhara Y, Yamano Y, Okitsu T, Nakagawa K,</w:t>
      </w:r>
      <w:r w:rsidR="00A859C7" w:rsidRPr="00A859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859C7" w:rsidRPr="006A239C">
        <w:rPr>
          <w:rFonts w:ascii="Times New Roman" w:hAnsi="Times New Roman" w:cs="Times New Roman"/>
          <w:sz w:val="24"/>
          <w:szCs w:val="24"/>
        </w:rPr>
        <w:t>et al.</w:t>
      </w:r>
      <w:r w:rsidR="00A859C7" w:rsidRPr="00A859C7">
        <w:rPr>
          <w:rFonts w:ascii="Times New Roman" w:hAnsi="Times New Roman" w:cs="Times New Roman"/>
          <w:sz w:val="24"/>
          <w:szCs w:val="24"/>
        </w:rPr>
        <w:t xml:space="preserve"> Efficient synthesis and biological evaluation of demethyl geranylgeranoic acid derivatives.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A239C">
        <w:rPr>
          <w:rFonts w:ascii="Times New Roman" w:hAnsi="Times New Roman" w:cs="Times New Roman"/>
          <w:sz w:val="24"/>
          <w:szCs w:val="24"/>
        </w:rPr>
        <w:t>Bioorg Med Chem.</w:t>
      </w:r>
      <w:r>
        <w:rPr>
          <w:rFonts w:ascii="Times New Roman" w:hAnsi="Times New Roman" w:cs="Times New Roman"/>
          <w:sz w:val="24"/>
          <w:szCs w:val="24"/>
        </w:rPr>
        <w:t xml:space="preserve"> 2010</w:t>
      </w:r>
      <w:r w:rsidRPr="006A239C">
        <w:rPr>
          <w:rFonts w:ascii="Times New Roman" w:hAnsi="Times New Roman" w:cs="Times New Roman"/>
          <w:sz w:val="24"/>
          <w:szCs w:val="24"/>
        </w:rPr>
        <w:t>;18(16):5795-806.</w:t>
      </w:r>
    </w:p>
    <w:p w:rsidR="00A859C7" w:rsidRPr="00A859C7" w:rsidRDefault="006E18A3" w:rsidP="00A859C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A859C7" w:rsidRPr="00A859C7">
        <w:rPr>
          <w:rFonts w:ascii="Times New Roman" w:hAnsi="Times New Roman" w:cs="Times New Roman"/>
          <w:sz w:val="24"/>
          <w:szCs w:val="24"/>
        </w:rPr>
        <w:t>Ipaktschi</w:t>
      </w:r>
      <w:r>
        <w:rPr>
          <w:rFonts w:ascii="Times New Roman" w:hAnsi="Times New Roman" w:cs="Times New Roman"/>
          <w:sz w:val="24"/>
          <w:szCs w:val="24"/>
        </w:rPr>
        <w:t xml:space="preserve"> J. </w:t>
      </w:r>
      <w:r w:rsidR="00A859C7" w:rsidRPr="00A859C7">
        <w:rPr>
          <w:rFonts w:ascii="Times New Roman" w:hAnsi="Times New Roman" w:cs="Times New Roman"/>
          <w:sz w:val="24"/>
          <w:szCs w:val="24"/>
        </w:rPr>
        <w:t>Reduktion von Oximen mit Natriumboranat in Gegenwart von Übergangsmetallverbindungen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E18A3">
        <w:t xml:space="preserve"> </w:t>
      </w:r>
      <w:r>
        <w:rPr>
          <w:rFonts w:ascii="Times New Roman" w:hAnsi="Times New Roman" w:cs="Times New Roman"/>
          <w:sz w:val="24"/>
          <w:szCs w:val="24"/>
        </w:rPr>
        <w:t>Chem Ber. 1984;</w:t>
      </w:r>
      <w:r w:rsidRPr="006E18A3">
        <w:rPr>
          <w:rFonts w:ascii="Times New Roman" w:hAnsi="Times New Roman" w:cs="Times New Roman"/>
          <w:sz w:val="24"/>
          <w:szCs w:val="24"/>
        </w:rPr>
        <w:t>117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E18A3">
        <w:rPr>
          <w:rFonts w:ascii="Times New Roman" w:hAnsi="Times New Roman" w:cs="Times New Roman"/>
          <w:sz w:val="24"/>
          <w:szCs w:val="24"/>
        </w:rPr>
        <w:t>856–8</w:t>
      </w:r>
      <w:r w:rsidR="00A859C7" w:rsidRPr="00A859C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16CC2" w:rsidRPr="00AC3025" w:rsidRDefault="00D16CC2"/>
    <w:sectPr w:rsidR="00D16CC2" w:rsidRPr="00AC30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5D0" w:rsidRDefault="00AE15D0" w:rsidP="00A859C7">
      <w:r>
        <w:separator/>
      </w:r>
    </w:p>
  </w:endnote>
  <w:endnote w:type="continuationSeparator" w:id="0">
    <w:p w:rsidR="00AE15D0" w:rsidRDefault="00AE15D0" w:rsidP="00A8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5D0" w:rsidRDefault="00AE15D0" w:rsidP="00A859C7">
      <w:r>
        <w:separator/>
      </w:r>
    </w:p>
  </w:footnote>
  <w:footnote w:type="continuationSeparator" w:id="0">
    <w:p w:rsidR="00AE15D0" w:rsidRDefault="00AE15D0" w:rsidP="00A85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025"/>
    <w:rsid w:val="001826D1"/>
    <w:rsid w:val="006A239C"/>
    <w:rsid w:val="006E18A3"/>
    <w:rsid w:val="006E3EEF"/>
    <w:rsid w:val="00A859C7"/>
    <w:rsid w:val="00AC3025"/>
    <w:rsid w:val="00AE15D0"/>
    <w:rsid w:val="00D1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F2BFDA"/>
  <w15:chartTrackingRefBased/>
  <w15:docId w15:val="{B0248C5B-96C9-4677-B46D-2858E4BD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0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9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59C7"/>
  </w:style>
  <w:style w:type="paragraph" w:styleId="a5">
    <w:name w:val="footer"/>
    <w:basedOn w:val="a"/>
    <w:link w:val="a6"/>
    <w:uiPriority w:val="99"/>
    <w:unhideWhenUsed/>
    <w:rsid w:val="00A859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59C7"/>
  </w:style>
  <w:style w:type="paragraph" w:customStyle="1" w:styleId="EndNoteBibliography">
    <w:name w:val="EndNote Bibliography"/>
    <w:basedOn w:val="a"/>
    <w:link w:val="EndNoteBibliography0"/>
    <w:rsid w:val="00A859C7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A859C7"/>
    <w:rPr>
      <w:rFonts w:ascii="游明朝" w:eastAsia="游明朝" w:hAnsi="游明朝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7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Xian-Yang QIN</dc:creator>
  <cp:keywords/>
  <dc:description/>
  <cp:lastModifiedBy>Xian-Yang QIN</cp:lastModifiedBy>
  <cp:revision>5</cp:revision>
  <dcterms:created xsi:type="dcterms:W3CDTF">2023-04-22T01:04:00Z</dcterms:created>
  <dcterms:modified xsi:type="dcterms:W3CDTF">2023-04-22T03:57:00Z</dcterms:modified>
</cp:coreProperties>
</file>