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D39" w:rsidRPr="00A842F7" w:rsidRDefault="00C17D39" w:rsidP="00C17D39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842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54B3DF" wp14:editId="03853FB7">
            <wp:extent cx="4915668" cy="623454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271" cy="623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D39" w:rsidRPr="00A842F7" w:rsidRDefault="00C17D39" w:rsidP="00C17D39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842F7">
        <w:rPr>
          <w:rFonts w:ascii="Times New Roman" w:hAnsi="Times New Roman" w:cs="Times New Roman"/>
          <w:b/>
          <w:bCs/>
          <w:sz w:val="24"/>
          <w:szCs w:val="24"/>
        </w:rPr>
        <w:t xml:space="preserve">Fig. S2. Effects of </w:t>
      </w:r>
      <w:r w:rsidRPr="00A842F7">
        <w:rPr>
          <w:rFonts w:ascii="Times New Roman" w:hAnsi="Times New Roman" w:cs="Times New Roman"/>
          <w:b/>
          <w:sz w:val="24"/>
          <w:szCs w:val="24"/>
        </w:rPr>
        <w:t>ACR and vitamin K2 analog on the conformation change of TG2.</w:t>
      </w:r>
      <w:r w:rsidRPr="00A842F7">
        <w:rPr>
          <w:rFonts w:ascii="Times New Roman" w:hAnsi="Times New Roman" w:cs="Times New Roman"/>
          <w:sz w:val="24"/>
          <w:szCs w:val="24"/>
        </w:rPr>
        <w:t xml:space="preserve"> (</w:t>
      </w:r>
      <w:r w:rsidRPr="00A842F7">
        <w:rPr>
          <w:rFonts w:ascii="Times New Roman" w:hAnsi="Times New Roman" w:cs="Times New Roman"/>
          <w:i/>
          <w:sz w:val="24"/>
          <w:szCs w:val="24"/>
        </w:rPr>
        <w:t>A</w:t>
      </w:r>
      <w:r w:rsidRPr="00A842F7">
        <w:rPr>
          <w:rFonts w:ascii="Times New Roman" w:hAnsi="Times New Roman" w:cs="Times New Roman"/>
          <w:sz w:val="24"/>
          <w:szCs w:val="24"/>
        </w:rPr>
        <w:t xml:space="preserve">) Recombinant human TG2 was incubated with DMSO or 100 </w:t>
      </w:r>
      <w:proofErr w:type="spellStart"/>
      <w:r w:rsidRPr="00A842F7">
        <w:rPr>
          <w:rFonts w:ascii="Times New Roman" w:eastAsia="游明朝" w:hAnsi="Times New Roman" w:cs="Times New Roman"/>
          <w:sz w:val="24"/>
          <w:szCs w:val="24"/>
        </w:rPr>
        <w:t>μM</w:t>
      </w:r>
      <w:proofErr w:type="spellEnd"/>
      <w:r w:rsidRPr="00A842F7">
        <w:rPr>
          <w:rFonts w:ascii="Times New Roman" w:eastAsia="游明朝" w:hAnsi="Times New Roman" w:cs="Times New Roman"/>
          <w:sz w:val="24"/>
          <w:szCs w:val="24"/>
        </w:rPr>
        <w:t xml:space="preserve"> ACR</w:t>
      </w:r>
      <w:r w:rsidRPr="00A842F7">
        <w:rPr>
          <w:rFonts w:ascii="Times New Roman" w:hAnsi="Times New Roman" w:cs="Times New Roman"/>
          <w:sz w:val="24"/>
          <w:szCs w:val="24"/>
        </w:rPr>
        <w:t xml:space="preserve"> in the absence or presence of GTP with increasing concentrations for 2 h at room temperature and then subjected to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nondenaturing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electrophoresis. The protein bands were visualized with silver </w:t>
      </w:r>
      <w:r w:rsidRPr="00A842F7">
        <w:rPr>
          <w:rFonts w:ascii="Times New Roman" w:hAnsi="Times New Roman" w:cs="Times New Roman"/>
          <w:sz w:val="24"/>
          <w:szCs w:val="24"/>
        </w:rPr>
        <w:lastRenderedPageBreak/>
        <w:t>staining. (</w:t>
      </w:r>
      <w:r w:rsidRPr="00A842F7">
        <w:rPr>
          <w:rFonts w:ascii="Times New Roman" w:hAnsi="Times New Roman" w:cs="Times New Roman"/>
          <w:i/>
          <w:sz w:val="24"/>
          <w:szCs w:val="24"/>
        </w:rPr>
        <w:t>B</w:t>
      </w:r>
      <w:r w:rsidRPr="00A842F7">
        <w:rPr>
          <w:rFonts w:ascii="Times New Roman" w:hAnsi="Times New Roman" w:cs="Times New Roman"/>
          <w:sz w:val="24"/>
          <w:szCs w:val="24"/>
        </w:rPr>
        <w:t>) Chemical structures of ACR, ACR-23, ACR-55, and SVK30. Recombinant human TG2 was incubated (</w:t>
      </w:r>
      <w:r w:rsidRPr="00A842F7">
        <w:rPr>
          <w:rFonts w:ascii="Times New Roman" w:hAnsi="Times New Roman" w:cs="Times New Roman"/>
          <w:i/>
          <w:sz w:val="24"/>
          <w:szCs w:val="24"/>
        </w:rPr>
        <w:t>C</w:t>
      </w:r>
      <w:r w:rsidRPr="00A842F7">
        <w:rPr>
          <w:rFonts w:ascii="Times New Roman" w:hAnsi="Times New Roman" w:cs="Times New Roman"/>
          <w:sz w:val="24"/>
          <w:szCs w:val="24"/>
        </w:rPr>
        <w:t xml:space="preserve">) with 100 </w:t>
      </w:r>
      <w:proofErr w:type="spellStart"/>
      <w:r w:rsidRPr="00A842F7">
        <w:rPr>
          <w:rFonts w:ascii="Times New Roman" w:eastAsia="游明朝" w:hAnsi="Times New Roman" w:cs="Times New Roman"/>
          <w:sz w:val="24"/>
          <w:szCs w:val="24"/>
        </w:rPr>
        <w:t>μ</w:t>
      </w:r>
      <w:r w:rsidRPr="00A842F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ACR, or 100 </w:t>
      </w:r>
      <w:proofErr w:type="spellStart"/>
      <w:r w:rsidRPr="00A842F7">
        <w:rPr>
          <w:rFonts w:ascii="Times New Roman" w:eastAsia="游明朝" w:hAnsi="Times New Roman" w:cs="Times New Roman"/>
          <w:sz w:val="24"/>
          <w:szCs w:val="24"/>
        </w:rPr>
        <w:t>μ</w:t>
      </w:r>
      <w:r w:rsidRPr="00A842F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of the inactive derivatives of ACR (ACR-23 and ACR-55), or (</w:t>
      </w:r>
      <w:r w:rsidRPr="00A842F7">
        <w:rPr>
          <w:rFonts w:ascii="Times New Roman" w:hAnsi="Times New Roman" w:cs="Times New Roman"/>
          <w:i/>
          <w:sz w:val="24"/>
          <w:szCs w:val="24"/>
        </w:rPr>
        <w:t>D</w:t>
      </w:r>
      <w:r w:rsidRPr="00A842F7">
        <w:rPr>
          <w:rFonts w:ascii="Times New Roman" w:hAnsi="Times New Roman" w:cs="Times New Roman"/>
          <w:sz w:val="24"/>
          <w:szCs w:val="24"/>
        </w:rPr>
        <w:t xml:space="preserve">) with DMSO, 100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GTP, 5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CaCl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, and 100 </w:t>
      </w:r>
      <w:proofErr w:type="spellStart"/>
      <w:r w:rsidRPr="00A842F7">
        <w:rPr>
          <w:rFonts w:ascii="Times New Roman" w:eastAsia="游明朝" w:hAnsi="Times New Roman" w:cs="Times New Roman"/>
          <w:sz w:val="24"/>
          <w:szCs w:val="24"/>
        </w:rPr>
        <w:t>μM</w:t>
      </w:r>
      <w:proofErr w:type="spellEnd"/>
      <w:r w:rsidRPr="00A842F7">
        <w:rPr>
          <w:rFonts w:ascii="Times New Roman" w:eastAsia="游明朝" w:hAnsi="Times New Roman" w:cs="Times New Roman"/>
          <w:sz w:val="24"/>
          <w:szCs w:val="24"/>
        </w:rPr>
        <w:t xml:space="preserve"> ACR or SVK30 in the absence or presence of </w:t>
      </w:r>
      <w:r w:rsidRPr="00A842F7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A842F7">
        <w:rPr>
          <w:rFonts w:ascii="Times New Roman" w:eastAsia="游明朝" w:hAnsi="Times New Roman" w:cs="Times New Roman"/>
          <w:sz w:val="24"/>
          <w:szCs w:val="24"/>
        </w:rPr>
        <w:t xml:space="preserve"> GTP </w:t>
      </w:r>
      <w:r w:rsidRPr="00A842F7">
        <w:rPr>
          <w:rFonts w:ascii="Times New Roman" w:hAnsi="Times New Roman" w:cs="Times New Roman"/>
          <w:sz w:val="24"/>
          <w:szCs w:val="24"/>
        </w:rPr>
        <w:t xml:space="preserve">for 1-2 h at room temperature and then subjected to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nondenaturing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electrophoresis. The protein bands were visualized with silver staining.</w:t>
      </w:r>
    </w:p>
    <w:p w:rsidR="00D16CC2" w:rsidRDefault="00D16CC2">
      <w:bookmarkStart w:id="0" w:name="_GoBack"/>
      <w:bookmarkEnd w:id="0"/>
    </w:p>
    <w:sectPr w:rsidR="00D16C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39"/>
    <w:rsid w:val="00C17D39"/>
    <w:rsid w:val="00D1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354172E-206B-4E2D-8584-6374424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Xian-Yang QIN</dc:creator>
  <cp:keywords/>
  <dc:description/>
  <cp:lastModifiedBy>Xian-Yang QIN</cp:lastModifiedBy>
  <cp:revision>1</cp:revision>
  <dcterms:created xsi:type="dcterms:W3CDTF">2023-04-22T01:05:00Z</dcterms:created>
  <dcterms:modified xsi:type="dcterms:W3CDTF">2023-04-22T01:05:00Z</dcterms:modified>
</cp:coreProperties>
</file>