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28F" w:rsidRPr="00A842F7" w:rsidRDefault="0086128F" w:rsidP="0086128F">
      <w:pPr>
        <w:spacing w:line="48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</w:rPr>
        <w:drawing>
          <wp:inline distT="0" distB="0" distL="0" distR="0" wp14:anchorId="695D88C7" wp14:editId="4455395F">
            <wp:extent cx="5347335" cy="230002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999" cy="230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28F" w:rsidRPr="00A842F7" w:rsidRDefault="0086128F" w:rsidP="0086128F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42F7">
        <w:rPr>
          <w:rFonts w:ascii="Times New Roman" w:hAnsi="Times New Roman" w:cs="Times New Roman"/>
          <w:b/>
          <w:bCs/>
          <w:sz w:val="24"/>
          <w:szCs w:val="24"/>
        </w:rPr>
        <w:t>Fig. S4. Effects of CaCl</w:t>
      </w:r>
      <w:r w:rsidRPr="00A842F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b/>
          <w:bCs/>
          <w:sz w:val="24"/>
          <w:szCs w:val="24"/>
        </w:rPr>
        <w:t xml:space="preserve"> and ACR on the conformation structure of TG2.</w:t>
      </w:r>
      <w:r w:rsidRPr="00A842F7">
        <w:rPr>
          <w:rFonts w:ascii="Times New Roman" w:hAnsi="Times New Roman" w:cs="Times New Roman"/>
          <w:sz w:val="24"/>
          <w:szCs w:val="24"/>
        </w:rPr>
        <w:t xml:space="preserve"> (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A842F7">
        <w:rPr>
          <w:rFonts w:ascii="Times New Roman" w:hAnsi="Times New Roman" w:cs="Times New Roman"/>
          <w:sz w:val="24"/>
          <w:szCs w:val="24"/>
        </w:rPr>
        <w:t xml:space="preserve">) Recombinant human TG2 was incubated with </w:t>
      </w:r>
      <w:proofErr w:type="spellStart"/>
      <w:r w:rsidRPr="00A842F7">
        <w:rPr>
          <w:rFonts w:ascii="Times New Roman" w:hAnsi="Times New Roman" w:cs="Times New Roman"/>
          <w:sz w:val="24"/>
          <w:szCs w:val="24"/>
        </w:rPr>
        <w:t>EtOH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A842F7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 CaCl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sz w:val="24"/>
          <w:szCs w:val="24"/>
        </w:rPr>
        <w:t xml:space="preserve"> or 100 </w:t>
      </w:r>
      <w:proofErr w:type="spellStart"/>
      <w:r w:rsidRPr="00A842F7">
        <w:rPr>
          <w:rFonts w:ascii="Times New Roman" w:eastAsia="游明朝" w:hAnsi="Times New Roman" w:cs="Times New Roman"/>
          <w:sz w:val="24"/>
          <w:szCs w:val="24"/>
        </w:rPr>
        <w:t>μ</w:t>
      </w:r>
      <w:r w:rsidRPr="00A842F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842F7">
        <w:rPr>
          <w:rFonts w:ascii="Times New Roman" w:hAnsi="Times New Roman" w:cs="Times New Roman"/>
          <w:sz w:val="24"/>
          <w:szCs w:val="24"/>
        </w:rPr>
        <w:t xml:space="preserve"> ACR for 2 h at room temperature. The proteins were boiled at 98 </w:t>
      </w:r>
      <w:r w:rsidRPr="00A842F7">
        <w:rPr>
          <w:rFonts w:ascii="Times New Roman" w:eastAsia="游明朝" w:hAnsi="Times New Roman" w:cs="Times New Roman"/>
          <w:sz w:val="24"/>
          <w:szCs w:val="24"/>
        </w:rPr>
        <w:t>℃</w:t>
      </w:r>
      <w:r w:rsidRPr="00A842F7">
        <w:rPr>
          <w:rFonts w:ascii="Times New Roman" w:hAnsi="Times New Roman" w:cs="Times New Roman"/>
          <w:sz w:val="24"/>
          <w:szCs w:val="24"/>
        </w:rPr>
        <w:t xml:space="preserve"> for 10 min and subjected to SDS-PAGE. The protein bands were visualized with silver staining. (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A842F7">
        <w:rPr>
          <w:rFonts w:ascii="Times New Roman" w:hAnsi="Times New Roman" w:cs="Times New Roman"/>
          <w:sz w:val="24"/>
          <w:szCs w:val="24"/>
        </w:rPr>
        <w:t>)</w:t>
      </w:r>
      <w:r w:rsidRPr="005B2E60">
        <w:t xml:space="preserve"> </w:t>
      </w:r>
      <w:r w:rsidRPr="005B2E60">
        <w:rPr>
          <w:rFonts w:ascii="Times New Roman" w:hAnsi="Times New Roman" w:cs="Times New Roman"/>
          <w:sz w:val="24"/>
          <w:szCs w:val="24"/>
        </w:rPr>
        <w:t>Dose-dependent effect of ACR on the cell viability of JHH7 cells. The cells were treated with ACR for 24 h at the indicated concentrations. The half-maximal inhibitory concentration (IC</w:t>
      </w:r>
      <w:r w:rsidRPr="000775F4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5B2E60">
        <w:rPr>
          <w:rFonts w:ascii="Times New Roman" w:hAnsi="Times New Roman" w:cs="Times New Roman"/>
          <w:sz w:val="24"/>
          <w:szCs w:val="24"/>
        </w:rPr>
        <w:t>) was determined using the formula: 10^(LOG(A/</w:t>
      </w:r>
      <w:proofErr w:type="gramStart"/>
      <w:r w:rsidRPr="005B2E60">
        <w:rPr>
          <w:rFonts w:ascii="Times New Roman" w:hAnsi="Times New Roman" w:cs="Times New Roman"/>
          <w:sz w:val="24"/>
          <w:szCs w:val="24"/>
        </w:rPr>
        <w:t>B)*</w:t>
      </w:r>
      <w:proofErr w:type="gramEnd"/>
      <w:r w:rsidRPr="005B2E60">
        <w:rPr>
          <w:rFonts w:ascii="Times New Roman" w:hAnsi="Times New Roman" w:cs="Times New Roman"/>
          <w:sz w:val="24"/>
          <w:szCs w:val="24"/>
        </w:rPr>
        <w:t xml:space="preserve">(50-C)/(D-C)+LOG(B)), where A represents the high concentration that encompasses 50% of inhibition, B represents the low concentration that encompasses 50% of </w:t>
      </w:r>
      <w:proofErr w:type="spellStart"/>
      <w:r w:rsidRPr="005B2E60">
        <w:rPr>
          <w:rFonts w:ascii="Times New Roman" w:hAnsi="Times New Roman" w:cs="Times New Roman"/>
          <w:sz w:val="24"/>
          <w:szCs w:val="24"/>
        </w:rPr>
        <w:t>inhition</w:t>
      </w:r>
      <w:proofErr w:type="spellEnd"/>
      <w:r w:rsidRPr="005B2E60">
        <w:rPr>
          <w:rFonts w:ascii="Times New Roman" w:hAnsi="Times New Roman" w:cs="Times New Roman"/>
          <w:sz w:val="24"/>
          <w:szCs w:val="24"/>
        </w:rPr>
        <w:t>, C represents the inhibition rate at concentration B, and D represents the inhibition rate at concentration A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6B6A60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A842F7">
        <w:rPr>
          <w:rFonts w:ascii="Times New Roman" w:hAnsi="Times New Roman" w:cs="Times New Roman"/>
          <w:sz w:val="24"/>
          <w:szCs w:val="24"/>
        </w:rPr>
        <w:t>Effect of ACR on intracellular CaCl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sz w:val="24"/>
          <w:szCs w:val="24"/>
        </w:rPr>
        <w:t xml:space="preserve"> concentrations in JHH7 cells. The cells were treated with increasing concentrations of ACR for 4 h and intracellular CaCl</w:t>
      </w:r>
      <w:r w:rsidRPr="00A842F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42F7">
        <w:rPr>
          <w:rFonts w:ascii="Times New Roman" w:hAnsi="Times New Roman" w:cs="Times New Roman"/>
          <w:sz w:val="24"/>
          <w:szCs w:val="24"/>
        </w:rPr>
        <w:t xml:space="preserve"> concentration was </w:t>
      </w:r>
      <w:r w:rsidRPr="00A842F7">
        <w:rPr>
          <w:rFonts w:ascii="Times New Roman" w:hAnsi="Times New Roman" w:cs="Times New Roman"/>
          <w:sz w:val="24"/>
          <w:szCs w:val="24"/>
        </w:rPr>
        <w:lastRenderedPageBreak/>
        <w:t>measured using Fura-2-AM</w:t>
      </w:r>
      <w:r w:rsidRPr="00A842F7" w:rsidDel="00643F47">
        <w:rPr>
          <w:rFonts w:ascii="Times New Roman" w:hAnsi="Times New Roman" w:cs="Times New Roman"/>
          <w:sz w:val="24"/>
          <w:szCs w:val="24"/>
        </w:rPr>
        <w:t xml:space="preserve"> </w:t>
      </w:r>
      <w:r w:rsidRPr="00A842F7">
        <w:rPr>
          <w:rFonts w:ascii="Times New Roman" w:hAnsi="Times New Roman" w:cs="Times New Roman"/>
          <w:sz w:val="24"/>
          <w:szCs w:val="24"/>
        </w:rPr>
        <w:t>fluorescence and presented as the ratio of F340/F380. The data are presented as the mean ± SD; *</w:t>
      </w:r>
      <w:r w:rsidRPr="00A842F7">
        <w:rPr>
          <w:rFonts w:ascii="Times New Roman" w:hAnsi="Times New Roman" w:cs="Times New Roman"/>
          <w:i/>
          <w:sz w:val="24"/>
          <w:szCs w:val="24"/>
        </w:rPr>
        <w:t>P</w:t>
      </w:r>
      <w:r w:rsidRPr="00A842F7">
        <w:rPr>
          <w:rFonts w:ascii="Times New Roman" w:hAnsi="Times New Roman" w:cs="Times New Roman"/>
          <w:sz w:val="24"/>
          <w:szCs w:val="24"/>
        </w:rPr>
        <w:t xml:space="preserve"> &lt; 0.05, Student’s </w:t>
      </w:r>
      <w:r w:rsidRPr="00A842F7">
        <w:rPr>
          <w:rFonts w:ascii="Times New Roman" w:hAnsi="Times New Roman" w:cs="Times New Roman"/>
          <w:i/>
          <w:sz w:val="24"/>
          <w:szCs w:val="24"/>
        </w:rPr>
        <w:t>t</w:t>
      </w:r>
      <w:r w:rsidRPr="00A842F7">
        <w:rPr>
          <w:rFonts w:ascii="Times New Roman" w:hAnsi="Times New Roman" w:cs="Times New Roman"/>
          <w:sz w:val="24"/>
          <w:szCs w:val="24"/>
        </w:rPr>
        <w:t xml:space="preserve">-test. </w:t>
      </w:r>
    </w:p>
    <w:p w:rsidR="00D16CC2" w:rsidRPr="0086128F" w:rsidRDefault="00D16CC2">
      <w:bookmarkStart w:id="0" w:name="_GoBack"/>
      <w:bookmarkEnd w:id="0"/>
    </w:p>
    <w:sectPr w:rsidR="00D16CC2" w:rsidRPr="008612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28F"/>
    <w:rsid w:val="0086128F"/>
    <w:rsid w:val="00D1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B49855-3D6E-472E-B15D-7C21B11F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2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Xian-Yang QIN</dc:creator>
  <cp:keywords/>
  <dc:description/>
  <cp:lastModifiedBy>Xian-Yang QIN</cp:lastModifiedBy>
  <cp:revision>1</cp:revision>
  <dcterms:created xsi:type="dcterms:W3CDTF">2023-04-22T01:06:00Z</dcterms:created>
  <dcterms:modified xsi:type="dcterms:W3CDTF">2023-04-22T01:06:00Z</dcterms:modified>
</cp:coreProperties>
</file>