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b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materials: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1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tox list of the DEGs of proliferative PT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 compared to db/m mice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2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canonical pathway of the DEGs of proliferative PT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 compared to db/m mice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3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tox list of module 1 (PT</w:t>
      </w:r>
      <w:r w:rsidRPr="00312B16">
        <w:rPr>
          <w:rFonts w:ascii="Times New Roman" w:hAnsi="Times New Roman" w:cs="Times New Roman"/>
          <w:kern w:val="0"/>
          <w:szCs w:val="24"/>
          <w:vertAlign w:val="superscript"/>
        </w:rPr>
        <w:t>AQP4+</w:t>
      </w:r>
      <w:r w:rsidRPr="00312B16">
        <w:rPr>
          <w:rFonts w:ascii="Times New Roman" w:hAnsi="Times New Roman" w:cs="Times New Roman"/>
          <w:kern w:val="0"/>
          <w:szCs w:val="24"/>
        </w:rPr>
        <w:t xml:space="preserve">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dbdb mice)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4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KEGG analysis of module 1 (PT</w:t>
      </w:r>
      <w:r w:rsidRPr="00312B16">
        <w:rPr>
          <w:rFonts w:ascii="Times New Roman" w:hAnsi="Times New Roman" w:cs="Times New Roman"/>
          <w:kern w:val="0"/>
          <w:szCs w:val="24"/>
          <w:vertAlign w:val="superscript"/>
        </w:rPr>
        <w:t>AQP4+</w:t>
      </w:r>
      <w:r w:rsidRPr="00312B16">
        <w:rPr>
          <w:rFonts w:ascii="Times New Roman" w:hAnsi="Times New Roman" w:cs="Times New Roman"/>
          <w:kern w:val="0"/>
          <w:szCs w:val="24"/>
        </w:rPr>
        <w:t xml:space="preserve">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mice)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5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KEGG pathways of module 6 (PTS1/2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mice)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 xml:space="preserve">Supplementary Table 6 </w:t>
      </w:r>
      <w:r w:rsidRPr="00312B16">
        <w:rPr>
          <w:rFonts w:ascii="Times New Roman" w:hAnsi="Times New Roman" w:cs="Times New Roman"/>
          <w:kern w:val="0"/>
          <w:szCs w:val="24"/>
        </w:rPr>
        <w:t xml:space="preserve">The tox list of module 6 (PTS1/2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mice)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7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canonical pathway of the DEGs of TAL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 compared to db/m mice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8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canonical pathway of the DEGs of CD-PC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 compared to db/m mice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9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canonical pathway of the DEGs of CD-IC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 compared to db/m mice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10</w:t>
      </w:r>
      <w:r w:rsidRPr="00312B16">
        <w:rPr>
          <w:rFonts w:ascii="Times New Roman" w:hAnsi="Times New Roman" w:cs="Times New Roman"/>
          <w:kern w:val="0"/>
          <w:szCs w:val="24"/>
        </w:rPr>
        <w:t xml:space="preserve"> Venn diagram of the hub genes of CD-IC and CD-PC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DKD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11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canonical pathway of module 1 (MCD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db/m mice)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12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KEGG pathway of module 1 (MCD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db/m mice)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lastRenderedPageBreak/>
        <w:t>Supplementary Table 13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interaction network of PT subtype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 xml:space="preserve">n db/m mice 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14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interaction network of PT subtype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15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tox list of the DEGs of PTS1/2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 compared to db/m mice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16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tox list of the DEGs of PTS3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 compared to db/m mice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17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interaction network of other tubules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 xml:space="preserve">Supplementary Table 18 </w:t>
      </w:r>
      <w:r w:rsidRPr="00312B16">
        <w:rPr>
          <w:rFonts w:ascii="Times New Roman" w:hAnsi="Times New Roman" w:cs="Times New Roman" w:hint="eastAsia"/>
          <w:kern w:val="0"/>
          <w:szCs w:val="24"/>
        </w:rPr>
        <w:t>Th</w:t>
      </w:r>
      <w:r w:rsidRPr="00312B16">
        <w:rPr>
          <w:rFonts w:ascii="Times New Roman" w:hAnsi="Times New Roman" w:cs="Times New Roman"/>
          <w:kern w:val="0"/>
          <w:szCs w:val="24"/>
        </w:rPr>
        <w:t>e characteristics of human participants in the study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19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canonical pathway of the DEGs of EC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 compared to db/m mice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20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canonical pathway of the DEGs of podocyte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 xml:space="preserve">n db/db mice compared to db/m mice 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21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interaction network of glomerulus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>n db/db mice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22</w:t>
      </w:r>
      <w:r w:rsidRPr="00312B16">
        <w:rPr>
          <w:rFonts w:ascii="Times New Roman" w:hAnsi="Times New Roman" w:cs="Times New Roman"/>
          <w:kern w:val="0"/>
          <w:szCs w:val="24"/>
        </w:rPr>
        <w:t xml:space="preserve"> Surface marker of kidney cells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Table 23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antibodies used in study and sequence of SEMA3C siRNA</w:t>
      </w:r>
    </w:p>
    <w:p w:rsidR="00F82FAE" w:rsidRPr="00312B16" w:rsidRDefault="00F82FAE" w:rsidP="00F82FAE">
      <w:pPr>
        <w:rPr>
          <w:rFonts w:ascii="Times New Roman" w:hAnsi="Times New Roman" w:cs="Times New Roman"/>
          <w:kern w:val="0"/>
          <w:szCs w:val="24"/>
        </w:rPr>
      </w:pP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Fig 1.</w:t>
      </w:r>
      <w:r w:rsidRPr="00312B16">
        <w:rPr>
          <w:rFonts w:ascii="Times New Roman" w:hAnsi="Times New Roman" w:cs="Times New Roman"/>
          <w:kern w:val="0"/>
          <w:szCs w:val="24"/>
        </w:rPr>
        <w:tab/>
        <w:t>Biochemistry data of db/m and db/db mice at the 14</w:t>
      </w:r>
      <w:r w:rsidRPr="00312B16">
        <w:rPr>
          <w:rFonts w:ascii="Times New Roman" w:hAnsi="Times New Roman" w:cs="Times New Roman"/>
          <w:kern w:val="0"/>
          <w:szCs w:val="24"/>
          <w:vertAlign w:val="superscript"/>
        </w:rPr>
        <w:t>th</w:t>
      </w:r>
      <w:r w:rsidRPr="00312B16">
        <w:rPr>
          <w:rFonts w:ascii="Times New Roman" w:hAnsi="Times New Roman" w:cs="Times New Roman"/>
          <w:kern w:val="0"/>
          <w:szCs w:val="24"/>
        </w:rPr>
        <w:t xml:space="preserve"> week and db/db mice at 22</w:t>
      </w:r>
      <w:r w:rsidRPr="00312B16">
        <w:rPr>
          <w:rFonts w:ascii="Times New Roman" w:hAnsi="Times New Roman" w:cs="Times New Roman"/>
          <w:kern w:val="0"/>
          <w:szCs w:val="24"/>
          <w:vertAlign w:val="superscript"/>
        </w:rPr>
        <w:t>th</w:t>
      </w:r>
      <w:r w:rsidRPr="00312B16">
        <w:rPr>
          <w:rFonts w:ascii="Times New Roman" w:hAnsi="Times New Roman" w:cs="Times New Roman"/>
          <w:kern w:val="0"/>
          <w:szCs w:val="24"/>
        </w:rPr>
        <w:t xml:space="preserve"> and 33</w:t>
      </w:r>
      <w:r w:rsidRPr="00312B16">
        <w:rPr>
          <w:rFonts w:ascii="Times New Roman" w:hAnsi="Times New Roman" w:cs="Times New Roman"/>
          <w:kern w:val="0"/>
          <w:szCs w:val="24"/>
          <w:vertAlign w:val="superscript"/>
        </w:rPr>
        <w:t>th</w:t>
      </w:r>
      <w:r w:rsidRPr="00312B16">
        <w:rPr>
          <w:rFonts w:ascii="Times New Roman" w:hAnsi="Times New Roman" w:cs="Times New Roman"/>
          <w:kern w:val="0"/>
          <w:szCs w:val="24"/>
        </w:rPr>
        <w:t xml:space="preserve"> week. </w:t>
      </w:r>
      <w:r w:rsidRPr="00312B16">
        <w:rPr>
          <w:rFonts w:ascii="Times New Roman" w:hAnsi="Times New Roman" w:cs="Times New Roman"/>
          <w:b/>
          <w:kern w:val="0"/>
          <w:szCs w:val="24"/>
        </w:rPr>
        <w:t>A</w:t>
      </w:r>
      <w:r w:rsidRPr="00312B16">
        <w:rPr>
          <w:rFonts w:ascii="Times New Roman" w:hAnsi="Times New Roman" w:cs="Times New Roman" w:hint="eastAsia"/>
          <w:b/>
          <w:kern w:val="0"/>
          <w:szCs w:val="24"/>
        </w:rPr>
        <w:t>-E</w:t>
      </w:r>
      <w:r w:rsidRPr="00312B16">
        <w:rPr>
          <w:rFonts w:ascii="Times New Roman" w:hAnsi="Times New Roman" w:cs="Times New Roman"/>
          <w:kern w:val="0"/>
          <w:szCs w:val="24"/>
        </w:rPr>
        <w:t xml:space="preserve"> body weight, fasting glucose, blood urea nitrogen, serum creatinine, and urinary ACR. </w:t>
      </w:r>
      <w:r w:rsidRPr="00312B16">
        <w:rPr>
          <w:rFonts w:ascii="Times New Roman" w:hAnsi="Times New Roman" w:cs="Times New Roman"/>
          <w:b/>
          <w:kern w:val="0"/>
          <w:szCs w:val="24"/>
        </w:rPr>
        <w:t xml:space="preserve">F </w:t>
      </w:r>
      <w:r w:rsidRPr="00312B16">
        <w:rPr>
          <w:rFonts w:ascii="Times New Roman" w:hAnsi="Times New Roman" w:cs="Times New Roman"/>
          <w:kern w:val="0"/>
          <w:szCs w:val="24"/>
        </w:rPr>
        <w:t xml:space="preserve">Urinary albumin/creatinine ratio </w:t>
      </w:r>
      <w:r w:rsidRPr="00312B16">
        <w:rPr>
          <w:rFonts w:ascii="Times New Roman" w:hAnsi="Times New Roman" w:cs="Times New Roman"/>
          <w:kern w:val="0"/>
          <w:szCs w:val="24"/>
        </w:rPr>
        <w:lastRenderedPageBreak/>
        <w:t>(ACR</w:t>
      </w:r>
      <w:r w:rsidRPr="00312B16">
        <w:rPr>
          <w:rFonts w:ascii="Times New Roman" w:hAnsi="Times New Roman" w:cs="Times New Roman" w:hint="eastAsia"/>
          <w:kern w:val="0"/>
          <w:szCs w:val="24"/>
        </w:rPr>
        <w:t>)</w:t>
      </w:r>
      <w:r w:rsidRPr="00312B16">
        <w:rPr>
          <w:rFonts w:ascii="Times New Roman" w:hAnsi="Times New Roman" w:cs="Times New Roman"/>
          <w:kern w:val="0"/>
          <w:szCs w:val="24"/>
        </w:rPr>
        <w:t xml:space="preserve"> at different ages of db/db mice. </w:t>
      </w:r>
      <w:r w:rsidRPr="00312B16">
        <w:rPr>
          <w:rFonts w:ascii="Times New Roman" w:hAnsi="Times New Roman" w:cs="Times New Roman"/>
        </w:rPr>
        <w:t>Urine albumin was measured using the immunoturbidimetric assay</w:t>
      </w:r>
      <w:r w:rsidRPr="00312B16">
        <w:rPr>
          <w:rFonts w:ascii="Times New Roman" w:eastAsia="標楷體" w:hAnsi="Times New Roman" w:cs="Times New Roman"/>
          <w:szCs w:val="24"/>
        </w:rPr>
        <w:t xml:space="preserve">. Levels </w:t>
      </w:r>
      <w:bookmarkStart w:id="0" w:name="_GoBack"/>
      <w:r w:rsidRPr="001A2367">
        <w:rPr>
          <w:rStyle w:val="A00"/>
          <w:rFonts w:ascii="Times New Roman" w:hAnsi="Times New Roman" w:cs="Times New Roman"/>
          <w:sz w:val="24"/>
          <w:szCs w:val="24"/>
        </w:rPr>
        <w:t xml:space="preserve">Cr assessed using the enzymatic method. </w:t>
      </w:r>
      <w:r w:rsidRPr="001A2367">
        <w:rPr>
          <w:rFonts w:ascii="Times New Roman" w:hAnsi="Times New Roman" w:cs="Times New Roman"/>
          <w:b/>
          <w:kern w:val="0"/>
          <w:szCs w:val="24"/>
        </w:rPr>
        <w:t xml:space="preserve">G </w:t>
      </w:r>
      <w:r w:rsidRPr="001A2367">
        <w:rPr>
          <w:rFonts w:ascii="Times New Roman" w:hAnsi="Times New Roman" w:cs="Times New Roman"/>
          <w:kern w:val="0"/>
          <w:szCs w:val="24"/>
        </w:rPr>
        <w:t>T</w:t>
      </w:r>
      <w:bookmarkEnd w:id="0"/>
      <w:r w:rsidRPr="00312B16">
        <w:rPr>
          <w:rFonts w:ascii="Times New Roman" w:hAnsi="Times New Roman" w:cs="Times New Roman"/>
          <w:kern w:val="0"/>
          <w:szCs w:val="24"/>
        </w:rPr>
        <w:t xml:space="preserve">he features of the kidneys of different age of db/db mice assessed using 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Periodic acid–Schiff stain. 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Fig 2.</w:t>
      </w:r>
      <w:r w:rsidRPr="00312B16">
        <w:rPr>
          <w:rFonts w:ascii="Times New Roman" w:hAnsi="Times New Roman" w:cs="Times New Roman"/>
          <w:kern w:val="0"/>
          <w:szCs w:val="24"/>
        </w:rPr>
        <w:tab/>
        <w:t xml:space="preserve">Bioinformatics analysis of proliferative PT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 xml:space="preserve">n db/db mice compared to db/m mice. </w:t>
      </w:r>
      <w:r w:rsidRPr="00312B16">
        <w:rPr>
          <w:rFonts w:ascii="Times New Roman" w:hAnsi="Times New Roman" w:cs="Times New Roman"/>
          <w:b/>
          <w:kern w:val="0"/>
          <w:szCs w:val="24"/>
        </w:rPr>
        <w:t>A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tox list </w:t>
      </w:r>
      <w:r w:rsidRPr="00312B16">
        <w:rPr>
          <w:rFonts w:ascii="Times New Roman" w:hAnsi="Times New Roman" w:cs="Times New Roman"/>
          <w:b/>
          <w:kern w:val="0"/>
          <w:szCs w:val="24"/>
        </w:rPr>
        <w:t>B</w:t>
      </w:r>
      <w:r w:rsidRPr="00312B16">
        <w:rPr>
          <w:rFonts w:ascii="Times New Roman" w:hAnsi="Times New Roman" w:cs="Times New Roman"/>
          <w:kern w:val="0"/>
          <w:szCs w:val="24"/>
        </w:rPr>
        <w:t xml:space="preserve"> canonical pathway of the DGEs of proliferative PT </w:t>
      </w:r>
      <w:r w:rsidRPr="00312B16">
        <w:rPr>
          <w:rFonts w:ascii="Times New Roman" w:hAnsi="Times New Roman" w:cs="Times New Roman" w:hint="eastAsia"/>
          <w:kern w:val="0"/>
          <w:szCs w:val="24"/>
        </w:rPr>
        <w:t>i</w:t>
      </w:r>
      <w:r w:rsidRPr="00312B16">
        <w:rPr>
          <w:rFonts w:ascii="Times New Roman" w:hAnsi="Times New Roman" w:cs="Times New Roman"/>
          <w:kern w:val="0"/>
          <w:szCs w:val="24"/>
        </w:rPr>
        <w:t xml:space="preserve">n db/db mice compared to db/m mice. 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Fig 3.</w:t>
      </w:r>
      <w:r w:rsidRPr="00312B16">
        <w:rPr>
          <w:rFonts w:ascii="Times New Roman" w:hAnsi="Times New Roman" w:cs="Times New Roman"/>
          <w:kern w:val="0"/>
          <w:szCs w:val="24"/>
        </w:rPr>
        <w:tab/>
        <w:t xml:space="preserve">The tox list of </w:t>
      </w:r>
      <w:r w:rsidRPr="00312B16">
        <w:rPr>
          <w:rFonts w:ascii="Times New Roman" w:hAnsi="Times New Roman" w:cs="Times New Roman"/>
          <w:b/>
          <w:kern w:val="0"/>
          <w:szCs w:val="24"/>
        </w:rPr>
        <w:t>A</w:t>
      </w:r>
      <w:r w:rsidRPr="00312B16">
        <w:rPr>
          <w:rFonts w:ascii="Times New Roman" w:hAnsi="Times New Roman" w:cs="Times New Roman"/>
          <w:kern w:val="0"/>
          <w:szCs w:val="24"/>
        </w:rPr>
        <w:t xml:space="preserve"> module 1 and </w:t>
      </w:r>
      <w:r w:rsidRPr="00312B16">
        <w:rPr>
          <w:rFonts w:ascii="Times New Roman" w:hAnsi="Times New Roman" w:cs="Times New Roman"/>
          <w:b/>
          <w:kern w:val="0"/>
          <w:szCs w:val="24"/>
        </w:rPr>
        <w:t>B</w:t>
      </w:r>
      <w:r w:rsidRPr="00312B16">
        <w:rPr>
          <w:rFonts w:ascii="Times New Roman" w:hAnsi="Times New Roman" w:cs="Times New Roman"/>
          <w:kern w:val="0"/>
          <w:szCs w:val="24"/>
        </w:rPr>
        <w:t xml:space="preserve"> module 6 of PT of WGCNA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>Supplementary Fig 4.</w:t>
      </w:r>
      <w:r w:rsidRPr="00312B16">
        <w:rPr>
          <w:rFonts w:ascii="Times New Roman" w:hAnsi="Times New Roman" w:cs="Times New Roman"/>
          <w:kern w:val="0"/>
          <w:szCs w:val="24"/>
        </w:rPr>
        <w:tab/>
        <w:t xml:space="preserve">Bioinformatic analysis of MCD in db/m mice. </w:t>
      </w:r>
      <w:r w:rsidRPr="00312B16">
        <w:rPr>
          <w:rFonts w:ascii="Times New Roman" w:hAnsi="Times New Roman" w:cs="Times New Roman"/>
          <w:b/>
          <w:kern w:val="0"/>
          <w:szCs w:val="24"/>
        </w:rPr>
        <w:t>A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KEGG analysis of module 1 (MCD of db/m mice) of WGCNA. </w:t>
      </w:r>
      <w:r w:rsidRPr="00312B16">
        <w:rPr>
          <w:rFonts w:ascii="Times New Roman" w:hAnsi="Times New Roman" w:cs="Times New Roman"/>
          <w:b/>
          <w:kern w:val="0"/>
          <w:szCs w:val="24"/>
        </w:rPr>
        <w:t>B</w:t>
      </w:r>
      <w:r w:rsidRPr="00312B16">
        <w:rPr>
          <w:rFonts w:ascii="Times New Roman" w:hAnsi="Times New Roman" w:cs="Times New Roman"/>
          <w:kern w:val="0"/>
          <w:szCs w:val="24"/>
        </w:rPr>
        <w:t xml:space="preserve"> The network of module 1. </w:t>
      </w:r>
      <w:r w:rsidRPr="00312B16">
        <w:rPr>
          <w:rFonts w:ascii="Times New Roman" w:hAnsi="Times New Roman" w:cs="Times New Roman"/>
          <w:b/>
          <w:kern w:val="0"/>
          <w:szCs w:val="24"/>
        </w:rPr>
        <w:t>C</w:t>
      </w:r>
      <w:r w:rsidRPr="00312B16">
        <w:rPr>
          <w:rFonts w:ascii="Times New Roman" w:hAnsi="Times New Roman" w:cs="Times New Roman"/>
          <w:kern w:val="0"/>
          <w:szCs w:val="24"/>
        </w:rPr>
        <w:t xml:space="preserve"> Violin plot of hub gene MGST1 expression in MCD of db/m and db/db mice.</w:t>
      </w:r>
    </w:p>
    <w:p w:rsidR="00F82FAE" w:rsidRPr="00312B16" w:rsidRDefault="00F82FAE" w:rsidP="00F82FA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312B16">
        <w:rPr>
          <w:rFonts w:ascii="Times New Roman" w:hAnsi="Times New Roman" w:cs="Times New Roman"/>
          <w:b/>
          <w:kern w:val="0"/>
          <w:szCs w:val="24"/>
        </w:rPr>
        <w:t xml:space="preserve">Supplementary Fig 5.  </w:t>
      </w:r>
      <w:r w:rsidRPr="00312B16">
        <w:rPr>
          <w:rFonts w:ascii="Times New Roman" w:hAnsi="Times New Roman" w:cs="Times New Roman" w:hint="eastAsia"/>
          <w:kern w:val="0"/>
          <w:szCs w:val="24"/>
        </w:rPr>
        <w:t>MC-</w:t>
      </w:r>
      <w:r w:rsidRPr="00312B16">
        <w:rPr>
          <w:rFonts w:ascii="Times New Roman" w:hAnsi="Times New Roman" w:cs="Times New Roman"/>
          <w:kern w:val="0"/>
          <w:szCs w:val="24"/>
        </w:rPr>
        <w:t xml:space="preserve">secreted </w:t>
      </w:r>
      <w:r w:rsidRPr="00312B16">
        <w:rPr>
          <w:rFonts w:ascii="Times New Roman" w:hAnsi="Times New Roman" w:cs="Times New Roman" w:hint="eastAsia"/>
          <w:kern w:val="0"/>
          <w:szCs w:val="24"/>
        </w:rPr>
        <w:t>SEMA3C</w:t>
      </w:r>
      <w:r w:rsidRPr="00312B16">
        <w:rPr>
          <w:rFonts w:ascii="Times New Roman" w:hAnsi="Times New Roman" w:cs="Times New Roman"/>
          <w:kern w:val="0"/>
          <w:szCs w:val="24"/>
        </w:rPr>
        <w:t xml:space="preserve"> contributed to endothelial-mesenchymal transition (EndoMT) and increased permeability in GECs of DKD through NRP1 and NRP2 pathway.</w:t>
      </w:r>
      <w:r w:rsidRPr="00312B16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312B16">
        <w:rPr>
          <w:rFonts w:ascii="Times New Roman" w:hAnsi="Times New Roman" w:cs="Times New Roman"/>
          <w:b/>
          <w:kern w:val="0"/>
          <w:szCs w:val="24"/>
        </w:rPr>
        <w:t xml:space="preserve">A </w:t>
      </w:r>
      <w:r w:rsidRPr="00312B16">
        <w:rPr>
          <w:rFonts w:ascii="Times New Roman" w:hAnsi="Times New Roman" w:cs="Times New Roman"/>
          <w:szCs w:val="24"/>
        </w:rPr>
        <w:t>The viability assay of GEC treated with different concentrations of SEMA3C (0 and 10 ng/ml) for 48 h</w:t>
      </w:r>
      <w:r w:rsidRPr="00312B16">
        <w:rPr>
          <w:rFonts w:ascii="Times New Roman" w:hAnsi="Times New Roman" w:cs="Times New Roman" w:hint="eastAsia"/>
          <w:szCs w:val="24"/>
          <w:shd w:val="clear" w:color="auto" w:fill="FFFFFF"/>
        </w:rPr>
        <w:t>.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312B16">
        <w:rPr>
          <w:rFonts w:ascii="Times New Roman" w:hAnsi="Times New Roman" w:cs="Times New Roman"/>
          <w:b/>
          <w:szCs w:val="24"/>
          <w:shd w:val="clear" w:color="auto" w:fill="FFFFFF"/>
        </w:rPr>
        <w:t>B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 After transfection with SEMA3C siRNA </w:t>
      </w:r>
      <w:r w:rsidRPr="00312B16">
        <w:rPr>
          <w:rFonts w:ascii="Times New Roman" w:hAnsi="Times New Roman" w:cs="Times New Roman"/>
        </w:rPr>
        <w:t xml:space="preserve">(20 nM) or normal control (NC) (20 nM) for 24 h, 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the efficiency of SEMA3C protein knockdown in the supernatant of MC treated with HG for 48 h was measured using ELISA. </w:t>
      </w:r>
      <w:r w:rsidRPr="00312B16">
        <w:rPr>
          <w:rFonts w:ascii="Times New Roman" w:hAnsi="Times New Roman" w:cs="Times New Roman"/>
          <w:b/>
          <w:szCs w:val="24"/>
          <w:shd w:val="clear" w:color="auto" w:fill="FFFFFF"/>
        </w:rPr>
        <w:t xml:space="preserve">C 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After pretreatment with IgG (5 </w:t>
      </w:r>
      <w:r w:rsidRPr="00312B16">
        <w:rPr>
          <w:rFonts w:ascii="Times New Roman" w:eastAsia="SimSun" w:hAnsi="Times New Roman" w:cs="Times New Roman"/>
          <w:szCs w:val="24"/>
          <w:shd w:val="clear" w:color="auto" w:fill="FFFFFF"/>
        </w:rPr>
        <w:t>μ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g/ml) or 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lastRenderedPageBreak/>
        <w:t xml:space="preserve">NRP1 neutralizing antibody (nAb, 5 </w:t>
      </w:r>
      <w:r w:rsidRPr="00312B16">
        <w:rPr>
          <w:rFonts w:ascii="Times New Roman" w:eastAsia="SimSun" w:hAnsi="Times New Roman" w:cs="Times New Roman"/>
          <w:szCs w:val="24"/>
          <w:shd w:val="clear" w:color="auto" w:fill="FFFFFF"/>
        </w:rPr>
        <w:t>μ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g/ml) in GEC for 1 h, GEC was cultured with the supernatant of HG-treated MC for 48 h. </w:t>
      </w:r>
      <w:r w:rsidRPr="001A2367">
        <w:rPr>
          <w:rStyle w:val="A00"/>
          <w:rFonts w:ascii="Times New Roman" w:hAnsi="Times New Roman" w:cs="Times New Roman"/>
          <w:sz w:val="24"/>
          <w:szCs w:val="24"/>
        </w:rPr>
        <w:t xml:space="preserve">E-cadherin, N-cadherin and vimentin expression in cultured GECs was examined using western blotting. </w:t>
      </w:r>
      <w:r w:rsidRPr="001A2367">
        <w:rPr>
          <w:rFonts w:ascii="Times New Roman" w:hAnsi="Times New Roman" w:cs="Times New Roman"/>
          <w:b/>
          <w:szCs w:val="24"/>
          <w:shd w:val="clear" w:color="auto" w:fill="FFFFFF"/>
        </w:rPr>
        <w:t>D</w:t>
      </w:r>
      <w:r w:rsidRPr="001A2367">
        <w:rPr>
          <w:rStyle w:val="A00"/>
          <w:rFonts w:ascii="Times New Roman" w:hAnsi="Times New Roman" w:cs="Times New Roman"/>
          <w:sz w:val="24"/>
          <w:szCs w:val="24"/>
        </w:rPr>
        <w:t xml:space="preserve"> Permeability of cultured GECs was assessed using </w:t>
      </w:r>
      <w:r w:rsidRPr="001A2367">
        <w:rPr>
          <w:rFonts w:ascii="Times New Roman" w:hAnsi="Times New Roman" w:cs="Times New Roman"/>
          <w:kern w:val="0"/>
          <w:szCs w:val="24"/>
        </w:rPr>
        <w:t xml:space="preserve">transendothelial permeability assay. </w:t>
      </w:r>
      <w:r w:rsidRPr="001A2367">
        <w:rPr>
          <w:rFonts w:ascii="Times New Roman" w:hAnsi="Times New Roman" w:cs="Times New Roman"/>
          <w:b/>
          <w:szCs w:val="24"/>
          <w:shd w:val="clear" w:color="auto" w:fill="FFFFFF"/>
        </w:rPr>
        <w:t xml:space="preserve">E </w:t>
      </w:r>
      <w:r w:rsidRPr="001A2367">
        <w:rPr>
          <w:rFonts w:ascii="Times New Roman" w:hAnsi="Times New Roman" w:cs="Times New Roman"/>
          <w:szCs w:val="24"/>
          <w:shd w:val="clear" w:color="auto" w:fill="FFFFFF"/>
        </w:rPr>
        <w:t>After pretreatment with IgG (</w:t>
      </w:r>
      <w:r w:rsidRPr="001A2367">
        <w:rPr>
          <w:rFonts w:ascii="Times New Roman" w:hAnsi="Times New Roman" w:cs="Times New Roman" w:hint="eastAsia"/>
          <w:szCs w:val="24"/>
          <w:shd w:val="clear" w:color="auto" w:fill="FFFFFF"/>
        </w:rPr>
        <w:t>20</w:t>
      </w:r>
      <w:r w:rsidRPr="001A236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1A2367">
        <w:rPr>
          <w:rFonts w:ascii="Times New Roman" w:eastAsia="SimSun" w:hAnsi="Times New Roman" w:cs="Times New Roman"/>
          <w:szCs w:val="24"/>
          <w:shd w:val="clear" w:color="auto" w:fill="FFFFFF"/>
        </w:rPr>
        <w:t>μ</w:t>
      </w:r>
      <w:r w:rsidRPr="001A2367">
        <w:rPr>
          <w:rFonts w:ascii="Times New Roman" w:hAnsi="Times New Roman" w:cs="Times New Roman"/>
          <w:szCs w:val="24"/>
          <w:shd w:val="clear" w:color="auto" w:fill="FFFFFF"/>
        </w:rPr>
        <w:t xml:space="preserve">g/ml) or 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>NRP2 nAb (</w:t>
      </w:r>
      <w:r w:rsidRPr="00312B16">
        <w:rPr>
          <w:rFonts w:ascii="Times New Roman" w:hAnsi="Times New Roman" w:cs="Times New Roman" w:hint="eastAsia"/>
          <w:szCs w:val="24"/>
          <w:shd w:val="clear" w:color="auto" w:fill="FFFFFF"/>
        </w:rPr>
        <w:t>20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312B16">
        <w:rPr>
          <w:rFonts w:ascii="Times New Roman" w:eastAsia="SimSun" w:hAnsi="Times New Roman" w:cs="Times New Roman"/>
          <w:szCs w:val="24"/>
          <w:shd w:val="clear" w:color="auto" w:fill="FFFFFF"/>
        </w:rPr>
        <w:t>μ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>g/ml) in GEC for 1 h, GEC was cultured with the supernatant of HG-treated MC for 48 h.</w:t>
      </w:r>
      <w:r w:rsidRPr="001A236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1A2367">
        <w:rPr>
          <w:rStyle w:val="A00"/>
          <w:rFonts w:ascii="Times New Roman" w:hAnsi="Times New Roman" w:cs="Times New Roman"/>
          <w:sz w:val="24"/>
          <w:szCs w:val="24"/>
        </w:rPr>
        <w:t xml:space="preserve">E-cadherin, N-cadherin and vimentin expression in GECs was assessed using Western blotting. </w:t>
      </w:r>
      <w:r w:rsidRPr="001A2367">
        <w:rPr>
          <w:rFonts w:ascii="Times New Roman" w:hAnsi="Times New Roman" w:cs="Times New Roman"/>
          <w:b/>
          <w:szCs w:val="24"/>
          <w:shd w:val="clear" w:color="auto" w:fill="FFFFFF"/>
        </w:rPr>
        <w:t>F</w:t>
      </w:r>
      <w:r w:rsidRPr="001A2367">
        <w:rPr>
          <w:rStyle w:val="A00"/>
          <w:rFonts w:ascii="Times New Roman" w:hAnsi="Times New Roman" w:cs="Times New Roman"/>
          <w:sz w:val="24"/>
          <w:szCs w:val="24"/>
        </w:rPr>
        <w:t xml:space="preserve"> Permeability of cultured GECs was evaluated using </w:t>
      </w:r>
      <w:r w:rsidRPr="00312B16">
        <w:rPr>
          <w:rFonts w:ascii="Times New Roman" w:hAnsi="Times New Roman" w:cs="Times New Roman"/>
          <w:kern w:val="0"/>
        </w:rPr>
        <w:t xml:space="preserve">transendothelial permeability assay. </w:t>
      </w:r>
      <w:r w:rsidRPr="00312B16">
        <w:rPr>
          <w:rFonts w:ascii="Times New Roman" w:hAnsi="Times New Roman" w:cs="Times New Roman"/>
          <w:b/>
          <w:kern w:val="0"/>
        </w:rPr>
        <w:t>G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 After pretreatment with IgG (5 </w:t>
      </w:r>
      <w:r w:rsidRPr="00312B16">
        <w:rPr>
          <w:rFonts w:ascii="Times New Roman" w:eastAsia="SimSun" w:hAnsi="Times New Roman" w:cs="Times New Roman"/>
          <w:szCs w:val="24"/>
          <w:shd w:val="clear" w:color="auto" w:fill="FFFFFF"/>
        </w:rPr>
        <w:t>μ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g/ml) or NRP1 nAb (5 </w:t>
      </w:r>
      <w:r w:rsidRPr="00312B16">
        <w:rPr>
          <w:rFonts w:ascii="Times New Roman" w:eastAsia="SimSun" w:hAnsi="Times New Roman" w:cs="Times New Roman"/>
          <w:szCs w:val="24"/>
          <w:shd w:val="clear" w:color="auto" w:fill="FFFFFF"/>
        </w:rPr>
        <w:t>μ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g/ml) in GEC for 1 h, GEC was cultured with SEMA3C </w:t>
      </w:r>
      <w:r w:rsidRPr="00312B16">
        <w:rPr>
          <w:rStyle w:val="A00"/>
          <w:rFonts w:ascii="Times New Roman" w:hAnsi="Times New Roman" w:cs="Times New Roman"/>
          <w:szCs w:val="24"/>
        </w:rPr>
        <w:t>(</w:t>
      </w:r>
      <w:r w:rsidRPr="00312B16">
        <w:rPr>
          <w:rStyle w:val="A00"/>
          <w:rFonts w:ascii="Times New Roman" w:hAnsi="Times New Roman" w:cs="Times New Roman" w:hint="eastAsia"/>
          <w:szCs w:val="24"/>
        </w:rPr>
        <w:t xml:space="preserve">10 </w:t>
      </w:r>
      <w:r w:rsidRPr="00312B16">
        <w:rPr>
          <w:rStyle w:val="A00"/>
          <w:rFonts w:ascii="Times New Roman" w:hAnsi="Times New Roman" w:cs="Times New Roman"/>
          <w:szCs w:val="24"/>
        </w:rPr>
        <w:t>µM</w:t>
      </w:r>
      <w:r w:rsidRPr="00312B16">
        <w:rPr>
          <w:rStyle w:val="A00"/>
          <w:rFonts w:ascii="Times New Roman" w:hAnsi="Times New Roman" w:cs="Times New Roman" w:hint="eastAsia"/>
          <w:szCs w:val="24"/>
        </w:rPr>
        <w:t>)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 for 48 h. </w:t>
      </w:r>
      <w:r w:rsidRPr="001A2367">
        <w:rPr>
          <w:rStyle w:val="A00"/>
          <w:rFonts w:ascii="Times New Roman" w:hAnsi="Times New Roman" w:cs="Times New Roman"/>
          <w:sz w:val="24"/>
          <w:szCs w:val="24"/>
        </w:rPr>
        <w:t>E-cadherin, N-cadherin and vimentin expression in GECs was assessed using Western blotting.</w:t>
      </w:r>
      <w:r w:rsidRPr="001A2367">
        <w:rPr>
          <w:rFonts w:ascii="Times New Roman" w:hAnsi="Times New Roman" w:cs="Times New Roman"/>
          <w:b/>
          <w:szCs w:val="24"/>
          <w:shd w:val="clear" w:color="auto" w:fill="FFFFFF"/>
        </w:rPr>
        <w:t xml:space="preserve"> H</w:t>
      </w:r>
      <w:r w:rsidRPr="001A2367">
        <w:rPr>
          <w:rStyle w:val="A00"/>
          <w:rFonts w:ascii="Times New Roman" w:hAnsi="Times New Roman" w:cs="Times New Roman"/>
          <w:sz w:val="24"/>
          <w:szCs w:val="24"/>
        </w:rPr>
        <w:t xml:space="preserve"> Permeability of cultured GECs was determined using </w:t>
      </w:r>
      <w:r w:rsidRPr="00312B16">
        <w:rPr>
          <w:rFonts w:ascii="Times New Roman" w:hAnsi="Times New Roman" w:cs="Times New Roman"/>
          <w:kern w:val="0"/>
        </w:rPr>
        <w:t>transendothelial permeability assay.</w:t>
      </w:r>
      <w:r w:rsidRPr="00312B16">
        <w:rPr>
          <w:rFonts w:ascii="Times New Roman" w:hAnsi="Times New Roman" w:cs="Times New Roman"/>
          <w:b/>
          <w:kern w:val="0"/>
        </w:rPr>
        <w:t xml:space="preserve"> I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 After pretreatment with IgG (</w:t>
      </w:r>
      <w:r w:rsidRPr="00312B16">
        <w:rPr>
          <w:rFonts w:ascii="Times New Roman" w:hAnsi="Times New Roman" w:cs="Times New Roman" w:hint="eastAsia"/>
          <w:szCs w:val="24"/>
          <w:shd w:val="clear" w:color="auto" w:fill="FFFFFF"/>
        </w:rPr>
        <w:t>20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312B16">
        <w:rPr>
          <w:rFonts w:ascii="Times New Roman" w:eastAsia="SimSun" w:hAnsi="Times New Roman" w:cs="Times New Roman"/>
          <w:szCs w:val="24"/>
          <w:shd w:val="clear" w:color="auto" w:fill="FFFFFF"/>
        </w:rPr>
        <w:t>μ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>g/ml) or NRP2 nAb (</w:t>
      </w:r>
      <w:r w:rsidRPr="00312B16">
        <w:rPr>
          <w:rFonts w:ascii="Times New Roman" w:hAnsi="Times New Roman" w:cs="Times New Roman" w:hint="eastAsia"/>
          <w:szCs w:val="24"/>
          <w:shd w:val="clear" w:color="auto" w:fill="FFFFFF"/>
        </w:rPr>
        <w:t>20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312B16">
        <w:rPr>
          <w:rFonts w:ascii="Times New Roman" w:eastAsia="SimSun" w:hAnsi="Times New Roman" w:cs="Times New Roman"/>
          <w:szCs w:val="24"/>
          <w:shd w:val="clear" w:color="auto" w:fill="FFFFFF"/>
        </w:rPr>
        <w:t>μ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g/ml) in GEC for 1 h, GEC was cultured with SEMA3C </w:t>
      </w:r>
      <w:r w:rsidRPr="00312B16">
        <w:rPr>
          <w:rStyle w:val="A00"/>
          <w:rFonts w:ascii="Times New Roman" w:hAnsi="Times New Roman" w:cs="Times New Roman"/>
          <w:szCs w:val="24"/>
        </w:rPr>
        <w:t>(</w:t>
      </w:r>
      <w:r w:rsidRPr="00312B16">
        <w:rPr>
          <w:rStyle w:val="A00"/>
          <w:rFonts w:ascii="Times New Roman" w:hAnsi="Times New Roman" w:cs="Times New Roman" w:hint="eastAsia"/>
          <w:szCs w:val="24"/>
        </w:rPr>
        <w:t xml:space="preserve">10 </w:t>
      </w:r>
      <w:r w:rsidRPr="00312B16">
        <w:rPr>
          <w:rStyle w:val="A00"/>
          <w:rFonts w:ascii="Times New Roman" w:hAnsi="Times New Roman" w:cs="Times New Roman"/>
          <w:szCs w:val="24"/>
        </w:rPr>
        <w:t>µM</w:t>
      </w:r>
      <w:r w:rsidRPr="00312B16">
        <w:rPr>
          <w:rStyle w:val="A00"/>
          <w:rFonts w:ascii="Times New Roman" w:hAnsi="Times New Roman" w:cs="Times New Roman" w:hint="eastAsia"/>
          <w:szCs w:val="24"/>
        </w:rPr>
        <w:t>)</w:t>
      </w:r>
      <w:r w:rsidRPr="00312B16">
        <w:rPr>
          <w:rFonts w:ascii="Times New Roman" w:hAnsi="Times New Roman" w:cs="Times New Roman"/>
          <w:szCs w:val="24"/>
          <w:shd w:val="clear" w:color="auto" w:fill="FFFFFF"/>
        </w:rPr>
        <w:t xml:space="preserve"> for 48 h.</w:t>
      </w:r>
      <w:r w:rsidRPr="001A236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1A2367">
        <w:rPr>
          <w:rStyle w:val="A00"/>
          <w:rFonts w:ascii="Times New Roman" w:hAnsi="Times New Roman" w:cs="Times New Roman"/>
          <w:sz w:val="24"/>
          <w:szCs w:val="24"/>
        </w:rPr>
        <w:t>E-cadherin, N-cadherin and vimentin expression in GECs was assessed using Western blotting.</w:t>
      </w:r>
      <w:r w:rsidRPr="001A2367">
        <w:rPr>
          <w:rFonts w:ascii="Times New Roman" w:hAnsi="Times New Roman" w:cs="Times New Roman"/>
          <w:b/>
          <w:szCs w:val="24"/>
          <w:shd w:val="clear" w:color="auto" w:fill="FFFFFF"/>
        </w:rPr>
        <w:t xml:space="preserve"> J</w:t>
      </w:r>
      <w:r w:rsidRPr="001A2367">
        <w:rPr>
          <w:rStyle w:val="A00"/>
          <w:rFonts w:ascii="Times New Roman" w:hAnsi="Times New Roman" w:cs="Times New Roman"/>
          <w:sz w:val="24"/>
          <w:szCs w:val="24"/>
        </w:rPr>
        <w:t xml:space="preserve"> Permeability of cultured GECs was evaluated using </w:t>
      </w:r>
      <w:r w:rsidRPr="00312B16">
        <w:rPr>
          <w:rFonts w:ascii="Times New Roman" w:hAnsi="Times New Roman" w:cs="Times New Roman"/>
          <w:kern w:val="0"/>
        </w:rPr>
        <w:t>transendothelial permeability assay.</w:t>
      </w:r>
    </w:p>
    <w:p w:rsidR="00161FD2" w:rsidRPr="00F82FAE" w:rsidRDefault="00161FD2"/>
    <w:sectPr w:rsidR="00161FD2" w:rsidRPr="00F82F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42E" w:rsidRDefault="00FE642E" w:rsidP="001A2367">
      <w:r>
        <w:separator/>
      </w:r>
    </w:p>
  </w:endnote>
  <w:endnote w:type="continuationSeparator" w:id="0">
    <w:p w:rsidR="00FE642E" w:rsidRDefault="00FE642E" w:rsidP="001A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42E" w:rsidRDefault="00FE642E" w:rsidP="001A2367">
      <w:r>
        <w:separator/>
      </w:r>
    </w:p>
  </w:footnote>
  <w:footnote w:type="continuationSeparator" w:id="0">
    <w:p w:rsidR="00FE642E" w:rsidRDefault="00FE642E" w:rsidP="001A2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AE"/>
    <w:rsid w:val="00161FD2"/>
    <w:rsid w:val="001A2367"/>
    <w:rsid w:val="00F82FAE"/>
    <w:rsid w:val="00FE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9D1522-BAD5-47CF-90F6-9E607D82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F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00">
    <w:name w:val="A0"/>
    <w:uiPriority w:val="99"/>
    <w:rsid w:val="00F82FAE"/>
    <w:rPr>
      <w:color w:val="211D1E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1A2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23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2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236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acer</cp:lastModifiedBy>
  <cp:revision>2</cp:revision>
  <dcterms:created xsi:type="dcterms:W3CDTF">2023-06-17T20:18:00Z</dcterms:created>
  <dcterms:modified xsi:type="dcterms:W3CDTF">2023-07-07T14:02:00Z</dcterms:modified>
</cp:coreProperties>
</file>