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uto"/>
        <w:contextualSpacing/>
        <w:rPr>
          <w:rFonts w:ascii="Times New Roman" w:hAnsi="Times New Roman" w:cs="Times New Roman"/>
          <w:b/>
          <w:bCs/>
          <w:sz w:val="24"/>
          <w:szCs w:val="28"/>
        </w:rPr>
      </w:pPr>
      <w:r>
        <w:rPr>
          <w:rFonts w:ascii="Times New Roman" w:hAnsi="Times New Roman" w:cs="Times New Roman"/>
          <w:b/>
          <w:bCs/>
          <w:sz w:val="24"/>
          <w:szCs w:val="28"/>
        </w:rPr>
        <w:t>Supplementary F</w:t>
      </w:r>
      <w:r>
        <w:rPr>
          <w:rFonts w:hint="eastAsia" w:ascii="Times New Roman" w:hAnsi="Times New Roman" w:cs="Times New Roman"/>
          <w:b/>
          <w:bCs/>
          <w:sz w:val="24"/>
          <w:szCs w:val="28"/>
        </w:rPr>
        <w:t xml:space="preserve">igure Legends </w:t>
      </w:r>
    </w:p>
    <w:p>
      <w:pPr>
        <w:adjustRightInd w:val="0"/>
        <w:snapToGrid w:val="0"/>
        <w:spacing w:line="480" w:lineRule="auto"/>
        <w:contextualSpacing/>
        <w:rPr>
          <w:rFonts w:ascii="Times New Roman" w:hAnsi="Times New Roman" w:cs="Times New Roman"/>
          <w:sz w:val="24"/>
          <w:szCs w:val="28"/>
        </w:rPr>
      </w:pPr>
      <w:bookmarkStart w:id="0" w:name="OLE_LINK1"/>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S1</w:t>
      </w:r>
      <w:bookmarkEnd w:id="0"/>
      <w:r>
        <w:rPr>
          <w:rFonts w:hint="eastAsia" w:ascii="Times New Roman" w:hAnsi="Times New Roman" w:cs="Times New Roman"/>
          <w:b/>
          <w:bCs/>
          <w:sz w:val="24"/>
          <w:szCs w:val="28"/>
        </w:rPr>
        <w:t xml:space="preserve"> The</w:t>
      </w:r>
      <w:r>
        <w:rPr>
          <w:rFonts w:ascii="Times New Roman" w:hAnsi="Times New Roman" w:cs="Times New Roman"/>
          <w:b/>
          <w:bCs/>
          <w:sz w:val="24"/>
          <w:szCs w:val="28"/>
        </w:rPr>
        <w:t xml:space="preserve"> characteristics of CAFs and NFs. </w:t>
      </w:r>
      <w:r>
        <w:rPr>
          <w:rFonts w:ascii="Times New Roman" w:hAnsi="Times New Roman" w:cs="Times New Roman"/>
          <w:sz w:val="24"/>
          <w:szCs w:val="28"/>
        </w:rPr>
        <w:t xml:space="preserve">(A) The expression of α-SMA, FAP, FSP-1, and vimentin in CAFs and NFs was assessed by immunofluorescent staining. (B) The expression of α-SMA, FAP, FSP-1, and vimentin in CAFs and NFs was measured via western blotting. </w:t>
      </w:r>
    </w:p>
    <w:p>
      <w:pPr>
        <w:adjustRightInd w:val="0"/>
        <w:snapToGrid w:val="0"/>
        <w:spacing w:line="480" w:lineRule="auto"/>
        <w:contextualSpacing/>
        <w:rPr>
          <w:rFonts w:ascii="Times New Roman" w:hAnsi="Times New Roman" w:cs="Times New Roman"/>
          <w:b/>
          <w:bCs/>
          <w:sz w:val="24"/>
          <w:szCs w:val="28"/>
        </w:rPr>
      </w:pPr>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w:t>
      </w:r>
      <w:r>
        <w:rPr>
          <w:rFonts w:hint="eastAsia" w:ascii="Times New Roman" w:hAnsi="Times New Roman" w:cs="Times New Roman"/>
          <w:b/>
          <w:bCs/>
          <w:sz w:val="24"/>
          <w:szCs w:val="28"/>
        </w:rPr>
        <w:t>2 The</w:t>
      </w:r>
      <w:r>
        <w:rPr>
          <w:rFonts w:ascii="Times New Roman" w:hAnsi="Times New Roman" w:cs="Times New Roman"/>
          <w:b/>
          <w:bCs/>
          <w:sz w:val="24"/>
          <w:szCs w:val="28"/>
        </w:rPr>
        <w:t xml:space="preserve"> functions of CM collected from CAFs and NFs.</w:t>
      </w:r>
      <w:r>
        <w:rPr>
          <w:rFonts w:hint="eastAsia" w:ascii="Times New Roman" w:hAnsi="Times New Roman" w:cs="Times New Roman"/>
          <w:b/>
          <w:bCs/>
          <w:sz w:val="24"/>
          <w:szCs w:val="28"/>
        </w:rPr>
        <w:t xml:space="preserve"> </w:t>
      </w:r>
      <w:r>
        <w:rPr>
          <w:rFonts w:ascii="Times New Roman" w:hAnsi="Times New Roman" w:cs="Times New Roman"/>
          <w:sz w:val="24"/>
          <w:szCs w:val="28"/>
        </w:rPr>
        <w:t>(</w:t>
      </w:r>
      <w:r>
        <w:rPr>
          <w:rFonts w:hint="eastAsia" w:ascii="Times New Roman" w:hAnsi="Times New Roman" w:cs="Times New Roman"/>
          <w:sz w:val="24"/>
          <w:szCs w:val="28"/>
        </w:rPr>
        <w:t>A</w:t>
      </w:r>
      <w:r>
        <w:rPr>
          <w:rFonts w:ascii="Times New Roman" w:hAnsi="Times New Roman" w:cs="Times New Roman"/>
          <w:sz w:val="24"/>
          <w:szCs w:val="28"/>
        </w:rPr>
        <w:t>) The Edu assay indicated that CM collected from CAFs promoted the proliferation of breast cancer cells in 10% FBS culture condition. (</w:t>
      </w:r>
      <w:r>
        <w:rPr>
          <w:rFonts w:hint="eastAsia" w:ascii="Times New Roman" w:hAnsi="Times New Roman" w:cs="Times New Roman"/>
          <w:sz w:val="24"/>
          <w:szCs w:val="28"/>
        </w:rPr>
        <w:t>B</w:t>
      </w:r>
      <w:r>
        <w:rPr>
          <w:rFonts w:ascii="Times New Roman" w:hAnsi="Times New Roman" w:cs="Times New Roman"/>
          <w:sz w:val="24"/>
          <w:szCs w:val="28"/>
        </w:rPr>
        <w:t xml:space="preserve">) Transwell assay revealed the increased migration and invasion abilities of breast cancer cells when treated with CM collected from CAFs in 10% FBS culture condition. </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C</w:t>
      </w:r>
      <w:r>
        <w:rPr>
          <w:rFonts w:ascii="Times New Roman" w:hAnsi="Times New Roman" w:cs="Times New Roman"/>
          <w:color w:val="000000" w:themeColor="text1"/>
          <w:sz w:val="24"/>
          <w:szCs w:val="28"/>
          <w14:textFill>
            <w14:solidFill>
              <w14:schemeClr w14:val="tx1"/>
            </w14:solidFill>
          </w14:textFill>
        </w:rPr>
        <w:t>) Th</w:t>
      </w:r>
      <w:r>
        <w:rPr>
          <w:rFonts w:hint="eastAsia" w:ascii="Times New Roman" w:hAnsi="Times New Roman" w:cs="Times New Roman"/>
          <w:color w:val="000000" w:themeColor="text1"/>
          <w:sz w:val="24"/>
          <w:szCs w:val="28"/>
          <w14:textFill>
            <w14:solidFill>
              <w14:schemeClr w14:val="tx1"/>
            </w14:solidFill>
          </w14:textFill>
        </w:rPr>
        <w:t>e</w:t>
      </w:r>
      <w:r>
        <w:rPr>
          <w:rFonts w:ascii="Times New Roman" w:hAnsi="Times New Roman" w:cs="Times New Roman"/>
          <w:color w:val="000000" w:themeColor="text1"/>
          <w:sz w:val="24"/>
          <w:szCs w:val="28"/>
          <w14:textFill>
            <w14:solidFill>
              <w14:schemeClr w14:val="tx1"/>
            </w14:solidFill>
          </w14:textFill>
        </w:rPr>
        <w:t xml:space="preserve"> Edu assay indicated that CM collected from CAFs promoted the proliferation of breast cancer cells</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in</w:t>
      </w:r>
      <w:r>
        <w:rPr>
          <w:rFonts w:hint="eastAsia" w:ascii="Times New Roman" w:hAnsi="Times New Roman" w:cs="Times New Roman"/>
          <w:color w:val="000000" w:themeColor="text1"/>
          <w:sz w:val="24"/>
          <w:szCs w:val="28"/>
          <w14:textFill>
            <w14:solidFill>
              <w14:schemeClr w14:val="tx1"/>
            </w14:solidFill>
          </w14:textFill>
        </w:rPr>
        <w:t xml:space="preserve"> 2% FBS</w:t>
      </w:r>
      <w:r>
        <w:rPr>
          <w:rFonts w:ascii="Times New Roman" w:hAnsi="Times New Roman" w:cs="Times New Roman"/>
          <w:color w:val="000000" w:themeColor="text1"/>
          <w:sz w:val="24"/>
          <w:szCs w:val="28"/>
          <w14:textFill>
            <w14:solidFill>
              <w14:schemeClr w14:val="tx1"/>
            </w14:solidFill>
          </w14:textFill>
        </w:rPr>
        <w:t xml:space="preserve"> culture condition. (</w:t>
      </w:r>
      <w:r>
        <w:rPr>
          <w:rFonts w:hint="eastAsia" w:ascii="Times New Roman" w:hAnsi="Times New Roman" w:cs="Times New Roman"/>
          <w:color w:val="000000" w:themeColor="text1"/>
          <w:sz w:val="24"/>
          <w:szCs w:val="28"/>
          <w14:textFill>
            <w14:solidFill>
              <w14:schemeClr w14:val="tx1"/>
            </w14:solidFill>
          </w14:textFill>
        </w:rPr>
        <w:t>D</w:t>
      </w:r>
      <w:r>
        <w:rPr>
          <w:rFonts w:ascii="Times New Roman" w:hAnsi="Times New Roman" w:cs="Times New Roman"/>
          <w:color w:val="000000" w:themeColor="text1"/>
          <w:sz w:val="24"/>
          <w:szCs w:val="28"/>
          <w14:textFill>
            <w14:solidFill>
              <w14:schemeClr w14:val="tx1"/>
            </w14:solidFill>
          </w14:textFill>
        </w:rPr>
        <w:t>) Transwell assay revealed CM collected from CAFs</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increased migration and invasion abilities of breast cancer cells in</w:t>
      </w:r>
      <w:r>
        <w:rPr>
          <w:rFonts w:hint="eastAsia" w:ascii="Times New Roman" w:hAnsi="Times New Roman" w:cs="Times New Roman"/>
          <w:color w:val="000000" w:themeColor="text1"/>
          <w:sz w:val="24"/>
          <w:szCs w:val="28"/>
          <w14:textFill>
            <w14:solidFill>
              <w14:schemeClr w14:val="tx1"/>
            </w14:solidFill>
          </w14:textFill>
        </w:rPr>
        <w:t xml:space="preserve"> 2% FBS</w:t>
      </w:r>
      <w:r>
        <w:rPr>
          <w:rFonts w:ascii="Times New Roman" w:hAnsi="Times New Roman" w:cs="Times New Roman"/>
          <w:color w:val="000000" w:themeColor="text1"/>
          <w:sz w:val="24"/>
          <w:szCs w:val="28"/>
          <w14:textFill>
            <w14:solidFill>
              <w14:schemeClr w14:val="tx1"/>
            </w14:solidFill>
          </w14:textFill>
        </w:rPr>
        <w:t xml:space="preserve"> culture condition.</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sz w:val="24"/>
          <w:szCs w:val="28"/>
        </w:rPr>
        <w:t>(ns, no significance, *P &lt; 0.05, **P &lt; 0.01, ***P &lt; 0.001)</w:t>
      </w:r>
    </w:p>
    <w:p>
      <w:pPr>
        <w:adjustRightInd w:val="0"/>
        <w:snapToGrid w:val="0"/>
        <w:spacing w:line="480" w:lineRule="auto"/>
        <w:contextualSpacing/>
        <w:rPr>
          <w:rFonts w:hint="eastAsia" w:ascii="Times New Roman" w:hAnsi="Times New Roman" w:cs="Times New Roman"/>
          <w:b/>
          <w:bCs/>
          <w:sz w:val="24"/>
          <w:szCs w:val="28"/>
        </w:rPr>
      </w:pPr>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w:t>
      </w:r>
      <w:r>
        <w:rPr>
          <w:rFonts w:hint="eastAsia" w:ascii="Times New Roman" w:hAnsi="Times New Roman" w:cs="Times New Roman"/>
          <w:b/>
          <w:bCs/>
          <w:sz w:val="24"/>
          <w:szCs w:val="28"/>
        </w:rPr>
        <w:t>3</w:t>
      </w:r>
      <w:r>
        <w:rPr>
          <w:rFonts w:ascii="Times New Roman" w:hAnsi="Times New Roman" w:cs="Times New Roman"/>
          <w:b/>
          <w:bCs/>
          <w:sz w:val="24"/>
          <w:szCs w:val="28"/>
        </w:rPr>
        <w:t xml:space="preserve"> </w:t>
      </w:r>
      <w:r>
        <w:rPr>
          <w:rFonts w:hint="eastAsia" w:ascii="Times New Roman" w:hAnsi="Times New Roman" w:cs="Times New Roman"/>
          <w:b/>
          <w:bCs/>
          <w:sz w:val="24"/>
          <w:szCs w:val="28"/>
        </w:rPr>
        <w:t>The</w:t>
      </w:r>
      <w:r>
        <w:rPr>
          <w:rFonts w:ascii="Times New Roman" w:hAnsi="Times New Roman" w:cs="Times New Roman"/>
          <w:b/>
          <w:bCs/>
          <w:sz w:val="24"/>
          <w:szCs w:val="28"/>
        </w:rPr>
        <w:t xml:space="preserve"> characteristics and functions of isolated exosomes. </w:t>
      </w:r>
      <w:r>
        <w:rPr>
          <w:rFonts w:ascii="Times New Roman" w:hAnsi="Times New Roman" w:cs="Times New Roman"/>
          <w:sz w:val="24"/>
          <w:szCs w:val="28"/>
        </w:rPr>
        <w:t xml:space="preserve">(A) GM130, HSP70, Calnexin, CD9, and CD63 levels in cell lysis and exosomes derived </w:t>
      </w:r>
      <w:bookmarkStart w:id="2" w:name="_GoBack"/>
      <w:bookmarkEnd w:id="2"/>
      <w:r>
        <w:rPr>
          <w:rFonts w:ascii="Times New Roman" w:hAnsi="Times New Roman" w:cs="Times New Roman"/>
          <w:sz w:val="24"/>
          <w:szCs w:val="28"/>
        </w:rPr>
        <w:t>from CAFs or NFs were evaluated by western blotting. (B) The exosomes derived from CAFs or NFs were analyzed via transmission electron microscopy (TEM). scale bar, 200 nm. (C) The exosomes isolated from CAFs or NFs were analyzed via nanoparticle tracking analysis.</w:t>
      </w:r>
      <w:r>
        <w:rPr>
          <w:rFonts w:hint="eastAsia" w:ascii="Times New Roman" w:hAnsi="Times New Roman" w:cs="Times New Roman"/>
          <w:sz w:val="24"/>
          <w:szCs w:val="28"/>
        </w:rPr>
        <w:t xml:space="preserve"> (</w:t>
      </w:r>
      <w:r>
        <w:rPr>
          <w:rFonts w:ascii="Times New Roman" w:hAnsi="Times New Roman" w:cs="Times New Roman"/>
          <w:sz w:val="24"/>
          <w:szCs w:val="28"/>
        </w:rPr>
        <w:t>D) The images showing P</w:t>
      </w:r>
      <w:r>
        <w:rPr>
          <w:rFonts w:hint="eastAsia" w:ascii="Times New Roman" w:hAnsi="Times New Roman" w:cs="Times New Roman"/>
          <w:sz w:val="24"/>
          <w:szCs w:val="28"/>
        </w:rPr>
        <w:t>KH2</w:t>
      </w:r>
      <w:r>
        <w:rPr>
          <w:rFonts w:ascii="Times New Roman" w:hAnsi="Times New Roman" w:cs="Times New Roman"/>
          <w:sz w:val="24"/>
          <w:szCs w:val="28"/>
        </w:rPr>
        <w:t>6-labelled exosomal uptake by breast cancer cells.</w:t>
      </w:r>
      <w:r>
        <w:rPr>
          <w:rFonts w:hint="eastAsia" w:ascii="Times New Roman" w:hAnsi="Times New Roman" w:cs="Times New Roman"/>
          <w:color w:val="000000" w:themeColor="text1"/>
          <w:sz w:val="24"/>
          <w:szCs w:val="28"/>
          <w14:textFill>
            <w14:solidFill>
              <w14:schemeClr w14:val="tx1"/>
            </w14:solidFill>
          </w14:textFill>
        </w:rPr>
        <w:t xml:space="preserve"> (E) </w:t>
      </w:r>
      <w:r>
        <w:rPr>
          <w:rFonts w:ascii="Times New Roman" w:hAnsi="Times New Roman" w:cs="Times New Roman"/>
          <w:color w:val="000000" w:themeColor="text1"/>
          <w:sz w:val="24"/>
          <w:szCs w:val="28"/>
          <w14:textFill>
            <w14:solidFill>
              <w14:schemeClr w14:val="tx1"/>
            </w14:solidFill>
          </w14:textFill>
        </w:rPr>
        <w:t xml:space="preserve">The expression levels of upregulated circRNAs were evaluated by qRT-PCR. </w:t>
      </w:r>
      <w:r>
        <w:rPr>
          <w:rFonts w:hint="eastAsia" w:ascii="Times New Roman" w:hAnsi="Times New Roman" w:cs="Times New Roman"/>
          <w:color w:val="000000" w:themeColor="text1"/>
          <w:sz w:val="24"/>
          <w:szCs w:val="28"/>
          <w14:textFill>
            <w14:solidFill>
              <w14:schemeClr w14:val="tx1"/>
            </w14:solidFill>
          </w14:textFill>
        </w:rPr>
        <w:t>(F) The expression level of circTBPL1 in cancer cells and CAFs was assessed by qRT-PCR.</w:t>
      </w:r>
      <w:r>
        <w:rPr>
          <w:rFonts w:ascii="Times New Roman" w:hAnsi="Times New Roman" w:cs="Times New Roman"/>
          <w:color w:val="000000" w:themeColor="text1"/>
          <w:sz w:val="24"/>
          <w:szCs w:val="28"/>
          <w14:textFill>
            <w14:solidFill>
              <w14:schemeClr w14:val="tx1"/>
            </w14:solidFill>
          </w14:textFill>
        </w:rPr>
        <w:t xml:space="preserve"> (n</w:t>
      </w:r>
      <w:r>
        <w:rPr>
          <w:rFonts w:ascii="Times New Roman" w:hAnsi="Times New Roman" w:cs="Times New Roman"/>
          <w:sz w:val="24"/>
          <w:szCs w:val="28"/>
        </w:rPr>
        <w:t>s, no significance, *P &lt; 0.05, **P &lt; 0.01)</w:t>
      </w:r>
    </w:p>
    <w:p>
      <w:pPr>
        <w:adjustRightInd w:val="0"/>
        <w:snapToGrid w:val="0"/>
        <w:spacing w:line="480" w:lineRule="auto"/>
        <w:contextualSpacing/>
        <w:rPr>
          <w:rFonts w:ascii="Times New Roman" w:hAnsi="Times New Roman" w:cs="Times New Roman"/>
          <w:sz w:val="24"/>
          <w:szCs w:val="28"/>
        </w:rPr>
      </w:pPr>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w:t>
      </w:r>
      <w:r>
        <w:rPr>
          <w:rFonts w:hint="eastAsia" w:ascii="Times New Roman" w:hAnsi="Times New Roman" w:cs="Times New Roman"/>
          <w:b/>
          <w:bCs/>
          <w:sz w:val="24"/>
          <w:szCs w:val="28"/>
        </w:rPr>
        <w:t>4</w:t>
      </w:r>
      <w:r>
        <w:rPr>
          <w:rFonts w:ascii="Times New Roman" w:hAnsi="Times New Roman" w:cs="Times New Roman"/>
          <w:b/>
          <w:bCs/>
          <w:sz w:val="24"/>
          <w:szCs w:val="28"/>
        </w:rPr>
        <w:t xml:space="preserve"> The expression of circTBPL1 in CAFs and breast cancer cells. </w:t>
      </w:r>
      <w:r>
        <w:rPr>
          <w:rFonts w:ascii="Times New Roman" w:hAnsi="Times New Roman" w:cs="Times New Roman"/>
          <w:sz w:val="24"/>
          <w:szCs w:val="28"/>
        </w:rPr>
        <w:t>(A) Schematic illustration and sequence of si-circTBPL1</w:t>
      </w:r>
      <w:r>
        <w:rPr>
          <w:rFonts w:hint="eastAsia" w:ascii="Times New Roman" w:hAnsi="Times New Roman" w:cs="Times New Roman"/>
          <w:sz w:val="24"/>
          <w:szCs w:val="28"/>
        </w:rPr>
        <w:t xml:space="preserve"> </w:t>
      </w:r>
      <w:r>
        <w:rPr>
          <w:rFonts w:ascii="Times New Roman" w:hAnsi="Times New Roman" w:cs="Times New Roman"/>
          <w:sz w:val="24"/>
          <w:szCs w:val="28"/>
        </w:rPr>
        <w:t>specifically targeting circTBPL1 back-splice site. (B) The knockdown efficienc</w:t>
      </w:r>
      <w:r>
        <w:rPr>
          <w:rFonts w:ascii="Times New Roman" w:hAnsi="Times New Roman" w:cs="Times New Roman"/>
          <w:color w:val="000000" w:themeColor="text1"/>
          <w:sz w:val="24"/>
          <w:szCs w:val="28"/>
          <w14:textFill>
            <w14:solidFill>
              <w14:schemeClr w14:val="tx1"/>
            </w14:solidFill>
          </w14:textFill>
        </w:rPr>
        <w:t>y of circTBPL1 and TBPL1 expression level in CAFs were detected by qRT-PCR.</w:t>
      </w:r>
    </w:p>
    <w:p>
      <w:pPr>
        <w:adjustRightInd w:val="0"/>
        <w:snapToGrid w:val="0"/>
        <w:spacing w:line="480" w:lineRule="auto"/>
        <w:contextualSpacing/>
        <w:rPr>
          <w:rFonts w:ascii="Times New Roman" w:hAnsi="Times New Roman" w:cs="Times New Roman"/>
          <w:sz w:val="24"/>
          <w:szCs w:val="28"/>
        </w:rPr>
      </w:pPr>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w:t>
      </w:r>
      <w:r>
        <w:rPr>
          <w:rFonts w:hint="eastAsia" w:ascii="Times New Roman" w:hAnsi="Times New Roman" w:cs="Times New Roman"/>
          <w:b/>
          <w:bCs/>
          <w:sz w:val="24"/>
          <w:szCs w:val="28"/>
        </w:rPr>
        <w:t>5</w:t>
      </w:r>
      <w:r>
        <w:rPr>
          <w:rFonts w:ascii="Times New Roman" w:hAnsi="Times New Roman" w:cs="Times New Roman"/>
          <w:b/>
          <w:bCs/>
          <w:sz w:val="24"/>
          <w:szCs w:val="28"/>
        </w:rPr>
        <w:t xml:space="preserve"> circTBPL1 knockdown inhibits proliferation, migration, and invasion of breast cancer cells. </w:t>
      </w:r>
      <w:r>
        <w:rPr>
          <w:rFonts w:ascii="Times New Roman" w:hAnsi="Times New Roman" w:cs="Times New Roman"/>
          <w:sz w:val="24"/>
          <w:szCs w:val="28"/>
        </w:rPr>
        <w:t>(A) Levels of circTBPL1 and TBPL1 were assessed in MDA-MB-231 and MDA-MB-468 cells following si-NC or si-circTBPL1 transfection. (B-D) The cell proliferation of breast cancer cells after circTBPL1 knockdown was measured using MTT assay (B), colony formation assay (C), and Edu assay (D). (E) Wound healing assay was used to detect the effect of circTBPL1 knockdown on cell migration in breast cancer cells. (F) Transwell assay was performed to assess the migration and invasion abilities of breast cancer cells with or without circTBPL1 knockdown. (G) The expression of EMT-related markers was detected by western blot. (ns, no significance, *P &lt; 0.05, **P &lt; 0.01, ***P &lt; 0.001)</w:t>
      </w:r>
    </w:p>
    <w:p>
      <w:pPr>
        <w:adjustRightInd w:val="0"/>
        <w:snapToGrid w:val="0"/>
        <w:spacing w:line="480" w:lineRule="auto"/>
        <w:contextualSpacing/>
        <w:rPr>
          <w:rFonts w:hint="eastAsia"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b/>
          <w:bCs/>
          <w:sz w:val="24"/>
          <w:szCs w:val="28"/>
        </w:rPr>
        <w:t xml:space="preserve">Supplementary </w:t>
      </w:r>
      <w:r>
        <w:rPr>
          <w:rFonts w:ascii="Times New Roman" w:hAnsi="Times New Roman" w:cs="Times New Roman"/>
          <w:b/>
          <w:bCs/>
          <w:sz w:val="24"/>
          <w:szCs w:val="28"/>
        </w:rPr>
        <w:t>Fig</w:t>
      </w:r>
      <w:r>
        <w:rPr>
          <w:rFonts w:hint="eastAsia" w:ascii="Times New Roman" w:hAnsi="Times New Roman" w:cs="Times New Roman"/>
          <w:b/>
          <w:bCs/>
          <w:sz w:val="24"/>
          <w:szCs w:val="28"/>
        </w:rPr>
        <w:t>.</w:t>
      </w:r>
      <w:r>
        <w:rPr>
          <w:rFonts w:ascii="Times New Roman" w:hAnsi="Times New Roman" w:cs="Times New Roman"/>
          <w:b/>
          <w:bCs/>
          <w:sz w:val="24"/>
          <w:szCs w:val="28"/>
        </w:rPr>
        <w:t xml:space="preserve"> S</w:t>
      </w:r>
      <w:r>
        <w:rPr>
          <w:rFonts w:hint="eastAsia" w:ascii="Times New Roman" w:hAnsi="Times New Roman" w:cs="Times New Roman"/>
          <w:b/>
          <w:bCs/>
          <w:sz w:val="24"/>
          <w:szCs w:val="28"/>
        </w:rPr>
        <w:t>6</w:t>
      </w:r>
      <w:r>
        <w:rPr>
          <w:rFonts w:ascii="Times New Roman" w:hAnsi="Times New Roman" w:cs="Times New Roman"/>
          <w:b/>
          <w:bCs/>
          <w:sz w:val="24"/>
          <w:szCs w:val="28"/>
        </w:rPr>
        <w:t xml:space="preserve"> </w:t>
      </w:r>
      <w:r>
        <w:rPr>
          <w:rFonts w:hint="eastAsia" w:ascii="Times New Roman" w:hAnsi="Times New Roman" w:cs="Times New Roman"/>
          <w:b/>
          <w:bCs/>
          <w:sz w:val="24"/>
          <w:szCs w:val="28"/>
        </w:rPr>
        <w:t>miR-653-5p</w:t>
      </w:r>
      <w:r>
        <w:rPr>
          <w:rFonts w:ascii="Times New Roman" w:hAnsi="Times New Roman" w:cs="Times New Roman"/>
          <w:b/>
          <w:bCs/>
          <w:sz w:val="24"/>
          <w:szCs w:val="28"/>
        </w:rPr>
        <w:t>,</w:t>
      </w:r>
      <w:r>
        <w:rPr>
          <w:rFonts w:hint="eastAsia" w:ascii="Times New Roman" w:hAnsi="Times New Roman" w:cs="Times New Roman"/>
          <w:b/>
          <w:bCs/>
          <w:sz w:val="24"/>
          <w:szCs w:val="28"/>
        </w:rPr>
        <w:t xml:space="preserve"> rather than</w:t>
      </w:r>
      <w:r>
        <w:rPr>
          <w:rFonts w:hint="eastAsia" w:ascii="Times New Roman" w:hAnsi="Times New Roman" w:cs="Times New Roman"/>
          <w:b/>
          <w:bCs/>
          <w:color w:val="000000" w:themeColor="text1"/>
          <w:sz w:val="24"/>
          <w:szCs w:val="28"/>
          <w14:textFill>
            <w14:solidFill>
              <w14:schemeClr w14:val="tx1"/>
            </w14:solidFill>
          </w14:textFill>
        </w:rPr>
        <w:t xml:space="preserve"> miR-330-3p</w:t>
      </w:r>
      <w:r>
        <w:rPr>
          <w:rFonts w:ascii="Times New Roman" w:hAnsi="Times New Roman" w:cs="Times New Roman"/>
          <w:b/>
          <w:bCs/>
          <w:color w:val="000000" w:themeColor="text1"/>
          <w:sz w:val="24"/>
          <w:szCs w:val="28"/>
          <w14:textFill>
            <w14:solidFill>
              <w14:schemeClr w14:val="tx1"/>
            </w14:solidFill>
          </w14:textFill>
        </w:rPr>
        <w:t>,</w:t>
      </w:r>
      <w:r>
        <w:rPr>
          <w:rFonts w:hint="eastAsia" w:ascii="Times New Roman" w:hAnsi="Times New Roman" w:cs="Times New Roman"/>
          <w:b/>
          <w:bCs/>
          <w:color w:val="000000" w:themeColor="text1"/>
          <w:sz w:val="24"/>
          <w:szCs w:val="28"/>
          <w14:textFill>
            <w14:solidFill>
              <w14:schemeClr w14:val="tx1"/>
            </w14:solidFill>
          </w14:textFill>
        </w:rPr>
        <w:t xml:space="preserve"> was selected as the miRNA sponge of circTBP1 in breast cancer. </w:t>
      </w:r>
      <w:r>
        <w:rPr>
          <w:rFonts w:hint="eastAsia" w:ascii="Times New Roman" w:hAnsi="Times New Roman" w:cs="Times New Roman"/>
          <w:color w:val="000000" w:themeColor="text1"/>
          <w:sz w:val="24"/>
          <w:szCs w:val="28"/>
          <w14:textFill>
            <w14:solidFill>
              <w14:schemeClr w14:val="tx1"/>
            </w14:solidFill>
          </w14:textFill>
        </w:rPr>
        <w:t xml:space="preserve">(A) No protein coding ability of circTBPL1 was predicted. (B) </w:t>
      </w:r>
      <w:r>
        <w:rPr>
          <w:rFonts w:ascii="Times New Roman" w:hAnsi="Times New Roman" w:cs="Times New Roman"/>
          <w:color w:val="000000" w:themeColor="text1"/>
          <w:sz w:val="24"/>
          <w:szCs w:val="28"/>
          <w14:textFill>
            <w14:solidFill>
              <w14:schemeClr w14:val="tx1"/>
            </w14:solidFill>
          </w14:textFill>
        </w:rPr>
        <w:t>The overexpression efficiency of miR-</w:t>
      </w:r>
      <w:r>
        <w:rPr>
          <w:rFonts w:hint="eastAsia" w:ascii="Times New Roman" w:hAnsi="Times New Roman" w:cs="Times New Roman"/>
          <w:color w:val="000000" w:themeColor="text1"/>
          <w:sz w:val="24"/>
          <w:szCs w:val="28"/>
          <w14:textFill>
            <w14:solidFill>
              <w14:schemeClr w14:val="tx1"/>
            </w14:solidFill>
          </w14:textFill>
        </w:rPr>
        <w:t>330</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3</w:t>
      </w:r>
      <w:r>
        <w:rPr>
          <w:rFonts w:ascii="Times New Roman" w:hAnsi="Times New Roman" w:cs="Times New Roman"/>
          <w:color w:val="000000" w:themeColor="text1"/>
          <w:sz w:val="24"/>
          <w:szCs w:val="28"/>
          <w14:textFill>
            <w14:solidFill>
              <w14:schemeClr w14:val="tx1"/>
            </w14:solidFill>
          </w14:textFill>
        </w:rPr>
        <w:t>p mimics in breast cancer cells.</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C</w:t>
      </w:r>
      <w:r>
        <w:rPr>
          <w:rFonts w:ascii="Times New Roman" w:hAnsi="Times New Roman" w:cs="Times New Roman"/>
          <w:color w:val="000000" w:themeColor="text1"/>
          <w:sz w:val="24"/>
          <w:szCs w:val="28"/>
          <w14:textFill>
            <w14:solidFill>
              <w14:schemeClr w14:val="tx1"/>
            </w14:solidFill>
          </w14:textFill>
        </w:rPr>
        <w:t>-D) The MTT assay (</w:t>
      </w:r>
      <w:r>
        <w:rPr>
          <w:rFonts w:hint="eastAsia" w:ascii="Times New Roman" w:hAnsi="Times New Roman" w:cs="Times New Roman"/>
          <w:color w:val="000000" w:themeColor="text1"/>
          <w:sz w:val="24"/>
          <w:szCs w:val="28"/>
          <w14:textFill>
            <w14:solidFill>
              <w14:schemeClr w14:val="tx1"/>
            </w14:solidFill>
          </w14:textFill>
        </w:rPr>
        <w:t>C</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 xml:space="preserve">and Edu assay (D) suggested that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R-</w:t>
      </w:r>
      <w:r>
        <w:rPr>
          <w:rFonts w:hint="eastAsia" w:ascii="Times New Roman" w:hAnsi="Times New Roman" w:cs="Times New Roman"/>
          <w:color w:val="000000" w:themeColor="text1"/>
          <w:sz w:val="24"/>
          <w:szCs w:val="28"/>
          <w14:textFill>
            <w14:solidFill>
              <w14:schemeClr w14:val="tx1"/>
            </w14:solidFill>
          </w14:textFill>
        </w:rPr>
        <w:t>330-3</w:t>
      </w:r>
      <w:r>
        <w:rPr>
          <w:rFonts w:ascii="Times New Roman" w:hAnsi="Times New Roman" w:cs="Times New Roman"/>
          <w:color w:val="000000" w:themeColor="text1"/>
          <w:sz w:val="24"/>
          <w:szCs w:val="28"/>
          <w14:textFill>
            <w14:solidFill>
              <w14:schemeClr w14:val="tx1"/>
            </w14:solidFill>
          </w14:textFill>
        </w:rPr>
        <w:t xml:space="preserve">p overexpression </w:t>
      </w:r>
      <w:r>
        <w:rPr>
          <w:rFonts w:hint="eastAsia" w:ascii="Times New Roman" w:hAnsi="Times New Roman" w:cs="Times New Roman"/>
          <w:color w:val="000000" w:themeColor="text1"/>
          <w:sz w:val="24"/>
          <w:szCs w:val="28"/>
          <w14:textFill>
            <w14:solidFill>
              <w14:schemeClr w14:val="tx1"/>
            </w14:solidFill>
          </w14:textFill>
        </w:rPr>
        <w:t>promoted</w:t>
      </w:r>
      <w:r>
        <w:rPr>
          <w:rFonts w:ascii="Times New Roman" w:hAnsi="Times New Roman" w:cs="Times New Roman"/>
          <w:color w:val="000000" w:themeColor="text1"/>
          <w:sz w:val="24"/>
          <w:szCs w:val="28"/>
          <w14:textFill>
            <w14:solidFill>
              <w14:schemeClr w14:val="tx1"/>
            </w14:solidFill>
          </w14:textFill>
        </w:rPr>
        <w:t xml:space="preserve"> cell proliferation.</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 xml:space="preserve">(E)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R-</w:t>
      </w:r>
      <w:r>
        <w:rPr>
          <w:rFonts w:hint="eastAsia" w:ascii="Times New Roman" w:hAnsi="Times New Roman" w:cs="Times New Roman"/>
          <w:color w:val="000000" w:themeColor="text1"/>
          <w:sz w:val="24"/>
          <w:szCs w:val="28"/>
          <w14:textFill>
            <w14:solidFill>
              <w14:schemeClr w14:val="tx1"/>
            </w14:solidFill>
          </w14:textFill>
        </w:rPr>
        <w:t>330-3</w:t>
      </w:r>
      <w:r>
        <w:rPr>
          <w:rFonts w:ascii="Times New Roman" w:hAnsi="Times New Roman" w:cs="Times New Roman"/>
          <w:color w:val="000000" w:themeColor="text1"/>
          <w:sz w:val="24"/>
          <w:szCs w:val="28"/>
          <w14:textFill>
            <w14:solidFill>
              <w14:schemeClr w14:val="tx1"/>
            </w14:solidFill>
          </w14:textFill>
        </w:rPr>
        <w:t xml:space="preserve">p overexpression </w:t>
      </w:r>
      <w:r>
        <w:rPr>
          <w:rFonts w:hint="eastAsia" w:ascii="Times New Roman" w:hAnsi="Times New Roman" w:cs="Times New Roman"/>
          <w:color w:val="000000" w:themeColor="text1"/>
          <w:sz w:val="24"/>
          <w:szCs w:val="28"/>
          <w14:textFill>
            <w14:solidFill>
              <w14:schemeClr w14:val="tx1"/>
            </w14:solidFill>
          </w14:textFill>
        </w:rPr>
        <w:t>enhanced</w:t>
      </w:r>
      <w:r>
        <w:rPr>
          <w:rFonts w:ascii="Times New Roman" w:hAnsi="Times New Roman" w:cs="Times New Roman"/>
          <w:color w:val="000000" w:themeColor="text1"/>
          <w:sz w:val="24"/>
          <w:szCs w:val="28"/>
          <w14:textFill>
            <w14:solidFill>
              <w14:schemeClr w14:val="tx1"/>
            </w14:solidFill>
          </w14:textFill>
        </w:rPr>
        <w:t xml:space="preserve"> cell migration based on wound healing assay. (F) Transwell assays indicated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 xml:space="preserve">R-330-3p overexpression </w:t>
      </w:r>
      <w:r>
        <w:rPr>
          <w:rFonts w:hint="eastAsia" w:ascii="Times New Roman" w:hAnsi="Times New Roman" w:cs="Times New Roman"/>
          <w:color w:val="000000" w:themeColor="text1"/>
          <w:sz w:val="24"/>
          <w:szCs w:val="28"/>
          <w14:textFill>
            <w14:solidFill>
              <w14:schemeClr w14:val="tx1"/>
            </w14:solidFill>
          </w14:textFill>
        </w:rPr>
        <w:t>enhanced</w:t>
      </w:r>
      <w:r>
        <w:rPr>
          <w:rFonts w:ascii="Times New Roman" w:hAnsi="Times New Roman" w:cs="Times New Roman"/>
          <w:color w:val="000000" w:themeColor="text1"/>
          <w:sz w:val="24"/>
          <w:szCs w:val="28"/>
          <w14:textFill>
            <w14:solidFill>
              <w14:schemeClr w14:val="tx1"/>
            </w14:solidFill>
          </w14:textFill>
        </w:rPr>
        <w:t xml:space="preserve"> migration</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and invasion of breast cancer cells. (</w:t>
      </w:r>
      <w:r>
        <w:rPr>
          <w:rFonts w:hint="eastAsia" w:ascii="Times New Roman" w:hAnsi="Times New Roman" w:cs="Times New Roman"/>
          <w:color w:val="000000" w:themeColor="text1"/>
          <w:sz w:val="24"/>
          <w:szCs w:val="28"/>
          <w14:textFill>
            <w14:solidFill>
              <w14:schemeClr w14:val="tx1"/>
            </w14:solidFill>
          </w14:textFill>
        </w:rPr>
        <w:t>G</w:t>
      </w:r>
      <w:r>
        <w:rPr>
          <w:rFonts w:ascii="Times New Roman" w:hAnsi="Times New Roman" w:cs="Times New Roman"/>
          <w:color w:val="000000" w:themeColor="text1"/>
          <w:sz w:val="24"/>
          <w:szCs w:val="28"/>
          <w14:textFill>
            <w14:solidFill>
              <w14:schemeClr w14:val="tx1"/>
            </w14:solidFill>
          </w14:textFill>
        </w:rPr>
        <w:t>) Levels of circTBPL1</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 xml:space="preserve">and miR-653-5p was assessed in normal breast cells </w:t>
      </w:r>
      <w:r>
        <w:rPr>
          <w:rFonts w:hint="eastAsia" w:ascii="Times New Roman" w:hAnsi="Times New Roman" w:cs="Times New Roman"/>
          <w:color w:val="000000" w:themeColor="text1"/>
          <w:sz w:val="24"/>
          <w:szCs w:val="28"/>
          <w14:textFill>
            <w14:solidFill>
              <w14:schemeClr w14:val="tx1"/>
            </w14:solidFill>
          </w14:textFill>
        </w:rPr>
        <w:t>and</w:t>
      </w:r>
      <w:r>
        <w:rPr>
          <w:rFonts w:ascii="Times New Roman" w:hAnsi="Times New Roman" w:cs="Times New Roman"/>
          <w:color w:val="000000" w:themeColor="text1"/>
          <w:sz w:val="24"/>
          <w:szCs w:val="28"/>
          <w14:textFill>
            <w14:solidFill>
              <w14:schemeClr w14:val="tx1"/>
            </w14:solidFill>
          </w14:textFill>
        </w:rPr>
        <w:t xml:space="preserve"> breast cancer cells. (</w:t>
      </w:r>
      <w:r>
        <w:rPr>
          <w:rFonts w:hint="eastAsia" w:ascii="Times New Roman" w:hAnsi="Times New Roman" w:cs="Times New Roman"/>
          <w:color w:val="000000" w:themeColor="text1"/>
          <w:sz w:val="24"/>
          <w:szCs w:val="28"/>
          <w14:textFill>
            <w14:solidFill>
              <w14:schemeClr w14:val="tx1"/>
            </w14:solidFill>
          </w14:textFill>
        </w:rPr>
        <w:t>H</w:t>
      </w:r>
      <w:r>
        <w:rPr>
          <w:rFonts w:ascii="Times New Roman" w:hAnsi="Times New Roman" w:cs="Times New Roman"/>
          <w:color w:val="000000" w:themeColor="text1"/>
          <w:sz w:val="24"/>
          <w:szCs w:val="28"/>
          <w14:textFill>
            <w14:solidFill>
              <w14:schemeClr w14:val="tx1"/>
            </w14:solidFill>
          </w14:textFill>
        </w:rPr>
        <w:t>) The association between circTBPL1 expression and miR-653-5p expression was evaluated by Pearson’s correlation coefficient analysis.</w:t>
      </w:r>
      <w:r>
        <w:rPr>
          <w:rFonts w:hint="eastAsia" w:ascii="Times New Roman" w:hAnsi="Times New Roman" w:cs="Times New Roman"/>
          <w:color w:val="000000" w:themeColor="text1"/>
          <w:sz w:val="24"/>
          <w:szCs w:val="28"/>
          <w14:textFill>
            <w14:solidFill>
              <w14:schemeClr w14:val="tx1"/>
            </w14:solidFill>
          </w14:textFill>
        </w:rPr>
        <w:t xml:space="preserve"> (I) Dual-luciferase reporter assay showed no binding relationship between miR-330-3p and circTBPL1.</w:t>
      </w:r>
      <w:r>
        <w:rPr>
          <w:rFonts w:ascii="Times New Roman" w:hAnsi="Times New Roman" w:cs="Times New Roman"/>
          <w:color w:val="000000" w:themeColor="text1"/>
          <w:sz w:val="24"/>
          <w:szCs w:val="28"/>
          <w14:textFill>
            <w14:solidFill>
              <w14:schemeClr w14:val="tx1"/>
            </w14:solidFill>
          </w14:textFill>
        </w:rPr>
        <w:t xml:space="preserve"> (*P &lt; 0.05, **P &lt; 0.01, ***P &lt; 0.001)</w:t>
      </w:r>
    </w:p>
    <w:p>
      <w:pPr>
        <w:adjustRightInd w:val="0"/>
        <w:snapToGrid w:val="0"/>
        <w:spacing w:line="480" w:lineRule="auto"/>
        <w:contextualSpacing/>
        <w:rPr>
          <w:rFonts w:ascii="Times New Roman" w:hAnsi="Times New Roman" w:cs="Times New Roman"/>
          <w:b/>
          <w:bCs/>
          <w:color w:val="000000" w:themeColor="text1"/>
          <w:sz w:val="24"/>
          <w:szCs w:val="28"/>
          <w14:textFill>
            <w14:solidFill>
              <w14:schemeClr w14:val="tx1"/>
            </w14:solidFill>
          </w14:textFill>
        </w:rPr>
      </w:pPr>
      <w:r>
        <w:rPr>
          <w:rFonts w:hint="eastAsia" w:ascii="Times New Roman" w:hAnsi="Times New Roman" w:cs="Times New Roman"/>
          <w:b/>
          <w:bCs/>
          <w:color w:val="000000" w:themeColor="text1"/>
          <w:sz w:val="24"/>
          <w:szCs w:val="28"/>
          <w14:textFill>
            <w14:solidFill>
              <w14:schemeClr w14:val="tx1"/>
            </w14:solidFill>
          </w14:textFill>
        </w:rPr>
        <w:t xml:space="preserve">Supplementary </w:t>
      </w:r>
      <w:r>
        <w:rPr>
          <w:rFonts w:ascii="Times New Roman" w:hAnsi="Times New Roman" w:cs="Times New Roman"/>
          <w:b/>
          <w:bCs/>
          <w:color w:val="000000" w:themeColor="text1"/>
          <w:sz w:val="24"/>
          <w:szCs w:val="28"/>
          <w14:textFill>
            <w14:solidFill>
              <w14:schemeClr w14:val="tx1"/>
            </w14:solidFill>
          </w14:textFill>
        </w:rPr>
        <w:t>Fig</w:t>
      </w:r>
      <w:r>
        <w:rPr>
          <w:rFonts w:hint="eastAsia" w:ascii="Times New Roman" w:hAnsi="Times New Roman" w:cs="Times New Roman"/>
          <w:b/>
          <w:bCs/>
          <w:color w:val="000000" w:themeColor="text1"/>
          <w:sz w:val="24"/>
          <w:szCs w:val="28"/>
          <w14:textFill>
            <w14:solidFill>
              <w14:schemeClr w14:val="tx1"/>
            </w14:solidFill>
          </w14:textFill>
        </w:rPr>
        <w:t>.</w:t>
      </w:r>
      <w:r>
        <w:rPr>
          <w:rFonts w:ascii="Times New Roman" w:hAnsi="Times New Roman" w:cs="Times New Roman"/>
          <w:b/>
          <w:bCs/>
          <w:color w:val="000000" w:themeColor="text1"/>
          <w:sz w:val="24"/>
          <w:szCs w:val="28"/>
          <w14:textFill>
            <w14:solidFill>
              <w14:schemeClr w14:val="tx1"/>
            </w14:solidFill>
          </w14:textFill>
        </w:rPr>
        <w:t xml:space="preserve"> S</w:t>
      </w:r>
      <w:r>
        <w:rPr>
          <w:rFonts w:hint="eastAsia" w:ascii="Times New Roman" w:hAnsi="Times New Roman" w:cs="Times New Roman"/>
          <w:b/>
          <w:bCs/>
          <w:color w:val="000000" w:themeColor="text1"/>
          <w:sz w:val="24"/>
          <w:szCs w:val="28"/>
          <w14:textFill>
            <w14:solidFill>
              <w14:schemeClr w14:val="tx1"/>
            </w14:solidFill>
          </w14:textFill>
        </w:rPr>
        <w:t>7</w:t>
      </w:r>
      <w:r>
        <w:rPr>
          <w:rFonts w:ascii="Times New Roman" w:hAnsi="Times New Roman" w:cs="Times New Roman"/>
          <w:b/>
          <w:bCs/>
          <w:color w:val="000000" w:themeColor="text1"/>
          <w:sz w:val="24"/>
          <w:szCs w:val="28"/>
          <w14:textFill>
            <w14:solidFill>
              <w14:schemeClr w14:val="tx1"/>
            </w14:solidFill>
          </w14:textFill>
        </w:rPr>
        <w:t xml:space="preserve"> miR-653-5p overexpression inhibits the proliferation and motility of breast cancer cells.</w:t>
      </w:r>
      <w:r>
        <w:rPr>
          <w:rFonts w:hint="eastAsia" w:ascii="Times New Roman" w:hAnsi="Times New Roman" w:cs="Times New Roman"/>
          <w:b/>
          <w:bCs/>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 xml:space="preserve">(A) The overexpression efficiency of miR-653-5p mimics in breast cancer cells. (B-D) The MTT assay (B), colony formation assay (C), and Edu assay (D) suggested that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 xml:space="preserve">R-653-5p overexpression inhibited cell proliferation. </w:t>
      </w:r>
      <w:bookmarkStart w:id="1" w:name="OLE_LINK2"/>
      <w:r>
        <w:rPr>
          <w:rFonts w:ascii="Times New Roman" w:hAnsi="Times New Roman" w:cs="Times New Roman"/>
          <w:color w:val="000000" w:themeColor="text1"/>
          <w:sz w:val="24"/>
          <w:szCs w:val="28"/>
          <w14:textFill>
            <w14:solidFill>
              <w14:schemeClr w14:val="tx1"/>
            </w14:solidFill>
          </w14:textFill>
        </w:rPr>
        <w:t xml:space="preserve">(E)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 xml:space="preserve">R-653-5p overexpression inhibited cell migration based on wound healing assay. (F) Transwell assays indicated </w:t>
      </w:r>
      <w:r>
        <w:rPr>
          <w:rFonts w:hint="eastAsia" w:ascii="Times New Roman" w:hAnsi="Times New Roman" w:cs="Times New Roman"/>
          <w:color w:val="000000" w:themeColor="text1"/>
          <w:sz w:val="24"/>
          <w:szCs w:val="28"/>
          <w14:textFill>
            <w14:solidFill>
              <w14:schemeClr w14:val="tx1"/>
            </w14:solidFill>
          </w14:textFill>
        </w:rPr>
        <w:t>mi</w:t>
      </w:r>
      <w:r>
        <w:rPr>
          <w:rFonts w:ascii="Times New Roman" w:hAnsi="Times New Roman" w:cs="Times New Roman"/>
          <w:color w:val="000000" w:themeColor="text1"/>
          <w:sz w:val="24"/>
          <w:szCs w:val="28"/>
          <w14:textFill>
            <w14:solidFill>
              <w14:schemeClr w14:val="tx1"/>
            </w14:solidFill>
          </w14:textFill>
        </w:rPr>
        <w:t>R-653-5p overexpression inhibited migration</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 xml:space="preserve">and invasion of breast cancer cells. </w:t>
      </w:r>
      <w:bookmarkEnd w:id="1"/>
      <w:r>
        <w:rPr>
          <w:rFonts w:ascii="Times New Roman" w:hAnsi="Times New Roman" w:cs="Times New Roman"/>
          <w:color w:val="000000" w:themeColor="text1"/>
          <w:sz w:val="24"/>
          <w:szCs w:val="28"/>
          <w14:textFill>
            <w14:solidFill>
              <w14:schemeClr w14:val="tx1"/>
            </w14:solidFill>
          </w14:textFill>
        </w:rPr>
        <w:t>(G) Tube lengths of HUVEC cells treated with CM from breast cancer cells with or without miR-653-5p overexpression were measured by tube formation assay. (*P &lt; 0.05, **P &lt; 0.01, ***P &lt; 0.001)</w:t>
      </w:r>
    </w:p>
    <w:p>
      <w:pPr>
        <w:adjustRightInd w:val="0"/>
        <w:snapToGrid w:val="0"/>
        <w:spacing w:line="480" w:lineRule="auto"/>
        <w:contextualSpacing/>
        <w:rPr>
          <w:rFonts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b/>
          <w:bCs/>
          <w:color w:val="000000" w:themeColor="text1"/>
          <w:sz w:val="24"/>
          <w:szCs w:val="28"/>
          <w14:textFill>
            <w14:solidFill>
              <w14:schemeClr w14:val="tx1"/>
            </w14:solidFill>
          </w14:textFill>
        </w:rPr>
        <w:t xml:space="preserve">Supplementary </w:t>
      </w:r>
      <w:r>
        <w:rPr>
          <w:rFonts w:ascii="Times New Roman" w:hAnsi="Times New Roman" w:cs="Times New Roman"/>
          <w:b/>
          <w:bCs/>
          <w:color w:val="000000" w:themeColor="text1"/>
          <w:sz w:val="24"/>
          <w:szCs w:val="28"/>
          <w14:textFill>
            <w14:solidFill>
              <w14:schemeClr w14:val="tx1"/>
            </w14:solidFill>
          </w14:textFill>
        </w:rPr>
        <w:t>Fig</w:t>
      </w:r>
      <w:r>
        <w:rPr>
          <w:rFonts w:hint="eastAsia" w:ascii="Times New Roman" w:hAnsi="Times New Roman" w:cs="Times New Roman"/>
          <w:b/>
          <w:bCs/>
          <w:color w:val="000000" w:themeColor="text1"/>
          <w:sz w:val="24"/>
          <w:szCs w:val="28"/>
          <w14:textFill>
            <w14:solidFill>
              <w14:schemeClr w14:val="tx1"/>
            </w14:solidFill>
          </w14:textFill>
        </w:rPr>
        <w:t>.</w:t>
      </w:r>
      <w:r>
        <w:rPr>
          <w:rFonts w:ascii="Times New Roman" w:hAnsi="Times New Roman" w:cs="Times New Roman"/>
          <w:b/>
          <w:bCs/>
          <w:color w:val="000000" w:themeColor="text1"/>
          <w:sz w:val="24"/>
          <w:szCs w:val="28"/>
          <w14:textFill>
            <w14:solidFill>
              <w14:schemeClr w14:val="tx1"/>
            </w14:solidFill>
          </w14:textFill>
        </w:rPr>
        <w:t xml:space="preserve"> S</w:t>
      </w:r>
      <w:r>
        <w:rPr>
          <w:rFonts w:hint="eastAsia" w:ascii="Times New Roman" w:hAnsi="Times New Roman" w:cs="Times New Roman"/>
          <w:b/>
          <w:bCs/>
          <w:color w:val="000000" w:themeColor="text1"/>
          <w:sz w:val="24"/>
          <w:szCs w:val="28"/>
          <w14:textFill>
            <w14:solidFill>
              <w14:schemeClr w14:val="tx1"/>
            </w14:solidFill>
          </w14:textFill>
        </w:rPr>
        <w:t>8</w:t>
      </w:r>
      <w:r>
        <w:rPr>
          <w:rFonts w:ascii="Times New Roman" w:hAnsi="Times New Roman" w:cs="Times New Roman"/>
          <w:b/>
          <w:bCs/>
          <w:color w:val="000000" w:themeColor="text1"/>
          <w:sz w:val="24"/>
          <w:szCs w:val="28"/>
          <w14:textFill>
            <w14:solidFill>
              <w14:schemeClr w14:val="tx1"/>
            </w14:solidFill>
          </w14:textFill>
        </w:rPr>
        <w:t xml:space="preserve"> TPBG is regulated by circTBPL1/miR-653-5p and upregulated in breast cancer tissues. </w:t>
      </w:r>
      <w:r>
        <w:rPr>
          <w:rFonts w:ascii="Times New Roman" w:hAnsi="Times New Roman" w:cs="Times New Roman"/>
          <w:color w:val="000000" w:themeColor="text1"/>
          <w:sz w:val="24"/>
          <w:szCs w:val="28"/>
          <w14:textFill>
            <w14:solidFill>
              <w14:schemeClr w14:val="tx1"/>
            </w14:solidFill>
          </w14:textFill>
        </w:rPr>
        <w:t>(A) qRT–PCR analysis of screened downstream target genes of circTBPL1 and miR-653-5p. (B) The RNA expression of TPBG in various cancer tissues and corresponding normal tissues based on TCGA database. (C) The protein expression of TPBG in breast cancer tissues and normal tissues according to The Human Protein Atlas database. (D) The qRT-PCR analysis of TPBG expression in breast cancer cells treated with or without indicated exosomes. (ns, no significance, *P &lt; 0.05, **P &lt; 0.01, ***P &lt; 0.001)</w:t>
      </w:r>
    </w:p>
    <w:p>
      <w:pPr>
        <w:adjustRightInd w:val="0"/>
        <w:snapToGrid w:val="0"/>
        <w:spacing w:line="480" w:lineRule="auto"/>
        <w:contextualSpacing/>
        <w:rPr>
          <w:rFonts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b/>
          <w:bCs/>
          <w:color w:val="000000" w:themeColor="text1"/>
          <w:sz w:val="24"/>
          <w:szCs w:val="28"/>
          <w14:textFill>
            <w14:solidFill>
              <w14:schemeClr w14:val="tx1"/>
            </w14:solidFill>
          </w14:textFill>
        </w:rPr>
        <w:t xml:space="preserve">Supplementary </w:t>
      </w:r>
      <w:r>
        <w:rPr>
          <w:rFonts w:ascii="Times New Roman" w:hAnsi="Times New Roman" w:cs="Times New Roman"/>
          <w:b/>
          <w:bCs/>
          <w:color w:val="000000" w:themeColor="text1"/>
          <w:sz w:val="24"/>
          <w:szCs w:val="28"/>
          <w14:textFill>
            <w14:solidFill>
              <w14:schemeClr w14:val="tx1"/>
            </w14:solidFill>
          </w14:textFill>
        </w:rPr>
        <w:t>Fig</w:t>
      </w:r>
      <w:r>
        <w:rPr>
          <w:rFonts w:hint="eastAsia" w:ascii="Times New Roman" w:hAnsi="Times New Roman" w:cs="Times New Roman"/>
          <w:b/>
          <w:bCs/>
          <w:color w:val="000000" w:themeColor="text1"/>
          <w:sz w:val="24"/>
          <w:szCs w:val="28"/>
          <w14:textFill>
            <w14:solidFill>
              <w14:schemeClr w14:val="tx1"/>
            </w14:solidFill>
          </w14:textFill>
        </w:rPr>
        <w:t>.</w:t>
      </w:r>
      <w:r>
        <w:rPr>
          <w:rFonts w:ascii="Times New Roman" w:hAnsi="Times New Roman" w:cs="Times New Roman"/>
          <w:b/>
          <w:bCs/>
          <w:color w:val="000000" w:themeColor="text1"/>
          <w:sz w:val="24"/>
          <w:szCs w:val="28"/>
          <w14:textFill>
            <w14:solidFill>
              <w14:schemeClr w14:val="tx1"/>
            </w14:solidFill>
          </w14:textFill>
        </w:rPr>
        <w:t xml:space="preserve"> S</w:t>
      </w:r>
      <w:r>
        <w:rPr>
          <w:rFonts w:hint="eastAsia" w:ascii="Times New Roman" w:hAnsi="Times New Roman" w:cs="Times New Roman"/>
          <w:b/>
          <w:bCs/>
          <w:color w:val="000000" w:themeColor="text1"/>
          <w:sz w:val="24"/>
          <w:szCs w:val="28"/>
          <w14:textFill>
            <w14:solidFill>
              <w14:schemeClr w14:val="tx1"/>
            </w14:solidFill>
          </w14:textFill>
        </w:rPr>
        <w:t>9</w:t>
      </w:r>
      <w:r>
        <w:rPr>
          <w:rFonts w:ascii="Times New Roman" w:hAnsi="Times New Roman" w:cs="Times New Roman"/>
          <w:b/>
          <w:bCs/>
          <w:color w:val="000000" w:themeColor="text1"/>
          <w:sz w:val="24"/>
          <w:szCs w:val="28"/>
          <w14:textFill>
            <w14:solidFill>
              <w14:schemeClr w14:val="tx1"/>
            </w14:solidFill>
          </w14:textFill>
        </w:rPr>
        <w:t xml:space="preserve"> TPBG knockdown inhibited proliferation, migration, and invasion of breast cancer cells. </w:t>
      </w:r>
      <w:r>
        <w:rPr>
          <w:rFonts w:ascii="Times New Roman" w:hAnsi="Times New Roman" w:cs="Times New Roman"/>
          <w:color w:val="000000" w:themeColor="text1"/>
          <w:sz w:val="24"/>
          <w:szCs w:val="28"/>
          <w14:textFill>
            <w14:solidFill>
              <w14:schemeClr w14:val="tx1"/>
            </w14:solidFill>
          </w14:textFill>
        </w:rPr>
        <w:t>(A) The efficiency of TPBG knockdown was validated by qRT-PCR and western blot. (B-D) MTT assay (B), colony formation assay (C), and Edu assay (D) of si-NC and si-circTBPL1 breast cancer cells.</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E) Wound healing analysis of si-NC and si-circTBPL1 breast cancer cells. (F) Transwell assay in breast cancer cells after si-NC or si-circTBPL1 transfection. (*P &lt; 0.05, **P &lt; 0.01, ***P &lt; 0.001)</w:t>
      </w:r>
    </w:p>
    <w:p>
      <w:pPr>
        <w:adjustRightInd w:val="0"/>
        <w:snapToGrid w:val="0"/>
        <w:spacing w:line="480" w:lineRule="auto"/>
        <w:contextualSpacing/>
        <w:rPr>
          <w:rFonts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b/>
          <w:bCs/>
          <w:color w:val="000000" w:themeColor="text1"/>
          <w:sz w:val="24"/>
          <w:szCs w:val="28"/>
          <w14:textFill>
            <w14:solidFill>
              <w14:schemeClr w14:val="tx1"/>
            </w14:solidFill>
          </w14:textFill>
        </w:rPr>
        <w:t xml:space="preserve">Supplementary </w:t>
      </w:r>
      <w:r>
        <w:rPr>
          <w:rFonts w:ascii="Times New Roman" w:hAnsi="Times New Roman" w:cs="Times New Roman"/>
          <w:b/>
          <w:bCs/>
          <w:color w:val="000000" w:themeColor="text1"/>
          <w:sz w:val="24"/>
          <w:szCs w:val="28"/>
          <w14:textFill>
            <w14:solidFill>
              <w14:schemeClr w14:val="tx1"/>
            </w14:solidFill>
          </w14:textFill>
        </w:rPr>
        <w:t>Fig</w:t>
      </w:r>
      <w:r>
        <w:rPr>
          <w:rFonts w:hint="eastAsia" w:ascii="Times New Roman" w:hAnsi="Times New Roman" w:cs="Times New Roman"/>
          <w:b/>
          <w:bCs/>
          <w:color w:val="000000" w:themeColor="text1"/>
          <w:sz w:val="24"/>
          <w:szCs w:val="28"/>
          <w14:textFill>
            <w14:solidFill>
              <w14:schemeClr w14:val="tx1"/>
            </w14:solidFill>
          </w14:textFill>
        </w:rPr>
        <w:t>.</w:t>
      </w:r>
      <w:r>
        <w:rPr>
          <w:rFonts w:ascii="Times New Roman" w:hAnsi="Times New Roman" w:cs="Times New Roman"/>
          <w:b/>
          <w:bCs/>
          <w:color w:val="000000" w:themeColor="text1"/>
          <w:sz w:val="24"/>
          <w:szCs w:val="28"/>
          <w14:textFill>
            <w14:solidFill>
              <w14:schemeClr w14:val="tx1"/>
            </w14:solidFill>
          </w14:textFill>
        </w:rPr>
        <w:t xml:space="preserve"> S10 Exosomal circTBPL1 derived from CAFs promote tumor growth and metastasis in vivo.</w:t>
      </w:r>
      <w:r>
        <w:rPr>
          <w:rFonts w:hint="eastAsia" w:ascii="Times New Roman" w:hAnsi="Times New Roman" w:cs="Times New Roman"/>
          <w:color w:val="000000" w:themeColor="text1"/>
          <w:sz w:val="24"/>
          <w:szCs w:val="28"/>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H-score was used for quantitative analysis on the related factors. (ns, no significance, *P &lt; 0.05, **P &lt; 0.01, ***P &lt; 0.001)</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678949"/>
    </w:sdtPr>
    <w:sdtContent>
      <w:p>
        <w:pPr>
          <w:pStyle w:val="2"/>
          <w:jc w:val="right"/>
        </w:pPr>
        <w:r>
          <w:fldChar w:fldCharType="begin"/>
        </w:r>
        <w:r>
          <w:instrText xml:space="preserve">PAGE   \* MERGEFORMAT</w:instrText>
        </w:r>
        <w:r>
          <w:fldChar w:fldCharType="separate"/>
        </w:r>
        <w:r>
          <w:rPr>
            <w:lang w:val="zh-CN"/>
          </w:rPr>
          <w:t>2</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xNWNhMGQ0NTVkYjIxZjZhNTQ0ZThmODQ5MDMwODkifQ=="/>
  </w:docVars>
  <w:rsids>
    <w:rsidRoot w:val="00070F2E"/>
    <w:rsid w:val="00070F2E"/>
    <w:rsid w:val="001C3CE9"/>
    <w:rsid w:val="00211142"/>
    <w:rsid w:val="0030053B"/>
    <w:rsid w:val="004B66A9"/>
    <w:rsid w:val="00720394"/>
    <w:rsid w:val="008B3AD2"/>
    <w:rsid w:val="008F37BE"/>
    <w:rsid w:val="009004D1"/>
    <w:rsid w:val="00966940"/>
    <w:rsid w:val="00BF534E"/>
    <w:rsid w:val="00C41DC5"/>
    <w:rsid w:val="00C8047D"/>
    <w:rsid w:val="00CA0159"/>
    <w:rsid w:val="01C04E49"/>
    <w:rsid w:val="0A7E74C8"/>
    <w:rsid w:val="10DE709A"/>
    <w:rsid w:val="16C433B5"/>
    <w:rsid w:val="233C49BD"/>
    <w:rsid w:val="3A5A30EF"/>
    <w:rsid w:val="42BE6D4D"/>
    <w:rsid w:val="49E00263"/>
    <w:rsid w:val="51022355"/>
    <w:rsid w:val="55A0038E"/>
    <w:rsid w:val="61E613B8"/>
    <w:rsid w:val="6AB42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Times New Roman" w:hAnsi="Times New Roman" w:cs="Times New Roman"/>
      <w:kern w:val="0"/>
      <w:sz w:val="24"/>
      <w:szCs w:val="24"/>
    </w:rPr>
  </w:style>
  <w:style w:type="table" w:styleId="6">
    <w:name w:val="Table Grid"/>
    <w:basedOn w:val="5"/>
    <w:qFormat/>
    <w:uiPriority w:val="39"/>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semiHidden/>
    <w:unhideWhenUsed/>
    <w:qFormat/>
    <w:uiPriority w:val="99"/>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881</Words>
  <Characters>4944</Characters>
  <Lines>42</Lines>
  <Paragraphs>11</Paragraphs>
  <TotalTime>868</TotalTime>
  <ScaleCrop>false</ScaleCrop>
  <LinksUpToDate>false</LinksUpToDate>
  <CharactersWithSpaces>5816</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2022-09-19T07:51:00Z</dcterms:created>
  <dc:creator>Liang Yiran</dc:creator>
  <cp:lastModifiedBy>叶方舟</cp:lastModifiedBy>
  <dcterms:modified xsi:type="dcterms:W3CDTF">2023-05-16T08:37:31Z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B814DD98F67C42B4B47C36070498D320</vt:lpwstr>
  </property>
</Properties>
</file>