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E537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 xml:space="preserve">Supplemental Figure 1: Phosphorylated </w:t>
      </w:r>
      <w:r>
        <w:rPr>
          <w:rFonts w:ascii="Times New Roman" w:hAnsi="Times New Roman" w:cs="Times New Roman"/>
          <w:b/>
          <w:bCs/>
          <w:sz w:val="22"/>
          <w:szCs w:val="22"/>
        </w:rPr>
        <w:t>ɣ</w:t>
      </w:r>
      <w:r w:rsidRPr="00BE20BE">
        <w:rPr>
          <w:rFonts w:ascii="Times" w:hAnsi="Times" w:cs="Times New Roman"/>
          <w:b/>
          <w:bCs/>
          <w:sz w:val="22"/>
          <w:szCs w:val="22"/>
        </w:rPr>
        <w:t>H2A.x is upregulated at the site of RT, indicating precise targeting.</w:t>
      </w:r>
      <w:r w:rsidRPr="00054608">
        <w:rPr>
          <w:rFonts w:ascii="Times" w:hAnsi="Times" w:cs="Times New Roman"/>
          <w:sz w:val="22"/>
          <w:szCs w:val="22"/>
        </w:rPr>
        <w:t xml:space="preserve"> (A) </w:t>
      </w:r>
      <w:r>
        <w:rPr>
          <w:rFonts w:ascii="Times" w:hAnsi="Times" w:cs="Times New Roman"/>
          <w:sz w:val="22"/>
          <w:szCs w:val="22"/>
        </w:rPr>
        <w:t>Mice</w:t>
      </w:r>
      <w:r w:rsidRPr="00054608">
        <w:rPr>
          <w:rFonts w:ascii="Times" w:hAnsi="Times" w:cs="Times New Roman"/>
          <w:sz w:val="22"/>
          <w:szCs w:val="22"/>
        </w:rPr>
        <w:t xml:space="preserve"> injected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intrarectally with 2.5x10</w:t>
      </w:r>
      <w:r w:rsidRPr="00BE20BE">
        <w:rPr>
          <w:rFonts w:ascii="Times" w:hAnsi="Times" w:cs="Times New Roman"/>
          <w:sz w:val="22"/>
          <w:szCs w:val="22"/>
          <w:vertAlign w:val="superscript"/>
        </w:rPr>
        <w:t xml:space="preserve">4 </w:t>
      </w:r>
      <w:r w:rsidRPr="00054608">
        <w:rPr>
          <w:rFonts w:ascii="Times" w:hAnsi="Times" w:cs="Times New Roman"/>
          <w:sz w:val="22"/>
          <w:szCs w:val="22"/>
        </w:rPr>
        <w:t>MC38-luc cells on day 0. Titanium fiducial clips incorporated on either side of the tumor at day 8, and a single fraction of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radiation therapy (RT; 5 Gray) administered on day 9. Three hours following RT, tumors and adjacent rectal tissue harvested and stained by flow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cytometry using an anti–p</w:t>
      </w:r>
      <w:r>
        <w:rPr>
          <w:rFonts w:ascii="Times New Roman" w:hAnsi="Times New Roman" w:cs="Times New Roman"/>
          <w:sz w:val="22"/>
          <w:szCs w:val="22"/>
        </w:rPr>
        <w:t>ɣ</w:t>
      </w:r>
      <w:r w:rsidRPr="00054608">
        <w:rPr>
          <w:rFonts w:ascii="Times" w:hAnsi="Times" w:cs="Times New Roman"/>
          <w:sz w:val="22"/>
          <w:szCs w:val="22"/>
        </w:rPr>
        <w:t>H2A.x antibody. (B) Contour plot of p</w:t>
      </w:r>
      <w:r w:rsidRPr="00054608">
        <w:rPr>
          <w:rFonts w:ascii="Times New Roman" w:hAnsi="Times New Roman" w:cs="Times New Roman"/>
          <w:sz w:val="22"/>
          <w:szCs w:val="22"/>
        </w:rPr>
        <w:t>ɣ</w:t>
      </w:r>
      <w:r w:rsidRPr="00054608">
        <w:rPr>
          <w:rFonts w:ascii="Times" w:hAnsi="Times" w:cs="Times New Roman"/>
          <w:sz w:val="22"/>
          <w:szCs w:val="22"/>
        </w:rPr>
        <w:t>H2A.x expression and (C) histograms plotting mean fluorescent intensity (MFI). (D)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Quantification of p</w:t>
      </w:r>
      <w:r>
        <w:rPr>
          <w:rFonts w:ascii="Times New Roman" w:hAnsi="Times New Roman" w:cs="Times New Roman"/>
          <w:sz w:val="22"/>
          <w:szCs w:val="22"/>
        </w:rPr>
        <w:t>ɣ</w:t>
      </w:r>
      <w:r w:rsidRPr="00054608">
        <w:rPr>
          <w:rFonts w:ascii="Times" w:hAnsi="Times" w:cs="Times New Roman"/>
          <w:sz w:val="22"/>
          <w:szCs w:val="22"/>
        </w:rPr>
        <w:t>H2A.x MFI plotted for tumor and adjacent rectal tissue.</w:t>
      </w:r>
    </w:p>
    <w:p w14:paraId="5D082155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8 untreated, 9 irradiated</w:t>
      </w:r>
    </w:p>
    <w:p w14:paraId="1BF3961E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D – Statistical significance determined by ANOVA.</w:t>
      </w:r>
    </w:p>
    <w:p w14:paraId="6AD2C760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2: Ectopic model of RC demonstrates responder/nonresponder phenotype. (</w:t>
      </w:r>
      <w:r w:rsidRPr="00054608">
        <w:rPr>
          <w:rFonts w:ascii="Times" w:hAnsi="Times" w:cs="Times New Roman"/>
          <w:sz w:val="22"/>
          <w:szCs w:val="22"/>
        </w:rPr>
        <w:t>A) Intramuscular (i.m.) targeting scheme</w:t>
      </w:r>
      <w:r>
        <w:rPr>
          <w:rFonts w:ascii="Times" w:hAnsi="Times" w:cs="Times New Roman"/>
          <w:sz w:val="22"/>
          <w:szCs w:val="22"/>
        </w:rPr>
        <w:t xml:space="preserve">: </w:t>
      </w:r>
      <w:r w:rsidRPr="00054608">
        <w:rPr>
          <w:rFonts w:ascii="Times" w:hAnsi="Times" w:cs="Times New Roman"/>
          <w:sz w:val="22"/>
          <w:szCs w:val="22"/>
        </w:rPr>
        <w:t>5x10</w:t>
      </w:r>
      <w:r w:rsidRPr="00BE20BE">
        <w:rPr>
          <w:rFonts w:ascii="Times" w:hAnsi="Times" w:cs="Times New Roman"/>
          <w:sz w:val="22"/>
          <w:szCs w:val="22"/>
          <w:vertAlign w:val="superscript"/>
        </w:rPr>
        <w:t>5</w:t>
      </w:r>
      <w:r w:rsidRPr="00054608">
        <w:rPr>
          <w:rFonts w:ascii="Times" w:hAnsi="Times" w:cs="Times New Roman"/>
          <w:sz w:val="22"/>
          <w:szCs w:val="22"/>
        </w:rPr>
        <w:t xml:space="preserve"> MC38-luc cells injected i.m. in the left hind leg on day 0 and mice treated with fractionated radiotherapy (RT; 5 Gy/ fraction, 5 consecutive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 xml:space="preserve">fractions) </w:t>
      </w:r>
      <w:r>
        <w:rPr>
          <w:rFonts w:ascii="Times" w:hAnsi="Times" w:cs="Times New Roman"/>
          <w:sz w:val="22"/>
          <w:szCs w:val="22"/>
        </w:rPr>
        <w:t xml:space="preserve">on </w:t>
      </w:r>
      <w:r w:rsidRPr="00054608">
        <w:rPr>
          <w:rFonts w:ascii="Times" w:hAnsi="Times" w:cs="Times New Roman"/>
          <w:sz w:val="22"/>
          <w:szCs w:val="22"/>
        </w:rPr>
        <w:t>days 9-13. (B) Caliper measurements of hind leg diameter. Mice grouped as responders or nonresponders based on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tumor burden.</w:t>
      </w:r>
    </w:p>
    <w:p w14:paraId="33379CD8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5 untreated and 10 irradiated</w:t>
      </w:r>
    </w:p>
    <w:p w14:paraId="7788E4C1" w14:textId="77777777" w:rsidR="008463F7" w:rsidRPr="00BE20BE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59BCBB98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3: There is no differences in the level of intratumoral hypoxia between responders and nonresponders following SCRT.</w:t>
      </w:r>
      <w:r w:rsidRPr="00054608">
        <w:rPr>
          <w:rFonts w:ascii="Times" w:hAnsi="Times" w:cs="Times New Roman"/>
          <w:sz w:val="22"/>
          <w:szCs w:val="22"/>
        </w:rPr>
        <w:t xml:space="preserve"> (A)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Tumor bearing mice treated with or without SCRT injected with EF5 (to label regions of hypoxia) and sacrificed on day 16. Tumors harvested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and stained for flow cytometry and the percentage of EF5-ELK-Cy3+ cells plotted for each immune population. (B) The percentage of EF5 ELK-Cy3+ cells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plotted for each immune population.</w:t>
      </w:r>
      <w:r>
        <w:rPr>
          <w:rFonts w:ascii="Times" w:hAnsi="Times" w:cs="Times New Roman"/>
          <w:sz w:val="22"/>
          <w:szCs w:val="22"/>
        </w:rPr>
        <w:t xml:space="preserve"> </w:t>
      </w:r>
    </w:p>
    <w:p w14:paraId="38759D3F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4 untreated, 6 irradiated (3 responders, 3 nonresponders).</w:t>
      </w:r>
    </w:p>
    <w:p w14:paraId="131E4A5D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A, B – Statistical significance determined by Students T test or ANOVA. Not significantly different.</w:t>
      </w:r>
    </w:p>
    <w:p w14:paraId="0C178869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 xml:space="preserve">Supplemental Figure 4: MC38-luc clones exhibit similar characteristics to MC38-luc parental, </w:t>
      </w:r>
      <w:r w:rsidRPr="00BE20BE">
        <w:rPr>
          <w:rFonts w:ascii="Times" w:hAnsi="Times" w:cs="Times New Roman"/>
          <w:b/>
          <w:bCs/>
          <w:i/>
          <w:iCs/>
          <w:sz w:val="22"/>
          <w:szCs w:val="22"/>
        </w:rPr>
        <w:t>in vitro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and </w:t>
      </w:r>
      <w:r w:rsidRPr="00BE20BE">
        <w:rPr>
          <w:rFonts w:ascii="Times" w:hAnsi="Times" w:cs="Times New Roman"/>
          <w:b/>
          <w:bCs/>
          <w:i/>
          <w:iCs/>
          <w:sz w:val="22"/>
          <w:szCs w:val="22"/>
        </w:rPr>
        <w:t>in vivo</w:t>
      </w:r>
      <w:r w:rsidRPr="00BE20BE">
        <w:rPr>
          <w:rFonts w:ascii="Times" w:hAnsi="Times" w:cs="Times New Roman"/>
          <w:b/>
          <w:bCs/>
          <w:sz w:val="22"/>
          <w:szCs w:val="22"/>
        </w:rPr>
        <w:t>.</w:t>
      </w:r>
      <w:r w:rsidRPr="00054608">
        <w:rPr>
          <w:rFonts w:ascii="Times" w:hAnsi="Times" w:cs="Times New Roman"/>
          <w:sz w:val="22"/>
          <w:szCs w:val="22"/>
        </w:rPr>
        <w:t xml:space="preserve"> Three clones selected from the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 xml:space="preserve">bulk population (MC38-luc parental). (A) Luciferase expression for each clone (1.1, 1.2, 1.3) measured by bioluminescence (BLI), </w:t>
      </w:r>
      <w:r w:rsidRPr="00BE20BE">
        <w:rPr>
          <w:rFonts w:ascii="Times" w:hAnsi="Times" w:cs="Times New Roman"/>
          <w:i/>
          <w:iCs/>
          <w:sz w:val="22"/>
          <w:szCs w:val="22"/>
        </w:rPr>
        <w:t>in vitro</w:t>
      </w:r>
      <w:r w:rsidRPr="00054608">
        <w:rPr>
          <w:rFonts w:ascii="Times" w:hAnsi="Times" w:cs="Times New Roman"/>
          <w:sz w:val="22"/>
          <w:szCs w:val="22"/>
        </w:rPr>
        <w:t>. (B) Growth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 xml:space="preserve">kinetics of the three clones and MC38-luc parental grown </w:t>
      </w:r>
      <w:r w:rsidRPr="00B04B8F">
        <w:rPr>
          <w:rFonts w:ascii="Times" w:hAnsi="Times" w:cs="Times New Roman"/>
          <w:i/>
          <w:iCs/>
          <w:sz w:val="22"/>
          <w:szCs w:val="22"/>
        </w:rPr>
        <w:t>in vitro</w:t>
      </w:r>
      <w:r w:rsidRPr="00054608">
        <w:rPr>
          <w:rFonts w:ascii="Times" w:hAnsi="Times" w:cs="Times New Roman"/>
          <w:sz w:val="22"/>
          <w:szCs w:val="22"/>
        </w:rPr>
        <w:t xml:space="preserve"> and counted every 24 hours for 3 days; n = 3 (C) Representative images showing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morphology of the clones and MC38-luc parental when grown in a 10mm dish. (D) MC38-luc parental and clones 1.1, 1.2, and 1.3 injected orthotopically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 xml:space="preserve">and tumor burden measured by </w:t>
      </w:r>
      <w:r w:rsidRPr="00BE20BE">
        <w:rPr>
          <w:rFonts w:ascii="Times" w:hAnsi="Times" w:cs="Times New Roman"/>
          <w:i/>
          <w:iCs/>
          <w:sz w:val="22"/>
          <w:szCs w:val="22"/>
        </w:rPr>
        <w:t>in vivo</w:t>
      </w:r>
      <w:r w:rsidRPr="00054608">
        <w:rPr>
          <w:rFonts w:ascii="Times" w:hAnsi="Times" w:cs="Times New Roman"/>
          <w:sz w:val="22"/>
          <w:szCs w:val="22"/>
        </w:rPr>
        <w:t xml:space="preserve"> imaging systems (IVIS) on day 6; n = 29, 17, 15, 15.</w:t>
      </w:r>
    </w:p>
    <w:p w14:paraId="7DD8E794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B, D – Statistical significance determined by ANOVA.</w:t>
      </w:r>
    </w:p>
    <w:p w14:paraId="053904E4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5: MC38-luc clones divide into responders and nonresponders following SCRT.</w:t>
      </w:r>
      <w:r w:rsidRPr="00054608">
        <w:rPr>
          <w:rFonts w:ascii="Times" w:hAnsi="Times" w:cs="Times New Roman"/>
          <w:sz w:val="22"/>
          <w:szCs w:val="22"/>
        </w:rPr>
        <w:t xml:space="preserve"> (A, C, E) Clones 1.1, 1.2, or 1.3 injected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intrarectally (2.5x10</w:t>
      </w:r>
      <w:r w:rsidRPr="00BE20BE">
        <w:rPr>
          <w:rFonts w:ascii="Times" w:hAnsi="Times" w:cs="Times New Roman"/>
          <w:sz w:val="22"/>
          <w:szCs w:val="22"/>
          <w:vertAlign w:val="superscript"/>
        </w:rPr>
        <w:t>4</w:t>
      </w:r>
      <w:r w:rsidRPr="00054608">
        <w:rPr>
          <w:rFonts w:ascii="Times" w:hAnsi="Times" w:cs="Times New Roman"/>
          <w:sz w:val="22"/>
          <w:szCs w:val="22"/>
        </w:rPr>
        <w:t xml:space="preserve">/ mouse) and mice received targeted SCRT from days 9-13. Tumor burden monitored by </w:t>
      </w:r>
      <w:r w:rsidRPr="00BE20BE">
        <w:rPr>
          <w:rFonts w:ascii="Times" w:hAnsi="Times" w:cs="Times New Roman"/>
          <w:i/>
          <w:iCs/>
          <w:sz w:val="22"/>
          <w:szCs w:val="22"/>
        </w:rPr>
        <w:t>in vivo</w:t>
      </w:r>
      <w:r w:rsidRPr="00054608">
        <w:rPr>
          <w:rFonts w:ascii="Times" w:hAnsi="Times" w:cs="Times New Roman"/>
          <w:sz w:val="22"/>
          <w:szCs w:val="22"/>
        </w:rPr>
        <w:t xml:space="preserve"> imaging systems (IVIS). (B, D, F) Animals retrospectively grouped as responders or nonresponders prior to SCRT (day 6).</w:t>
      </w:r>
    </w:p>
    <w:p w14:paraId="777D567F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5 untreated, 10 irradiated</w:t>
      </w:r>
    </w:p>
    <w:p w14:paraId="1E6C44C5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A-F – Statistical significance determined by ANOVA (A, C, E on day 20)</w:t>
      </w:r>
    </w:p>
    <w:p w14:paraId="3A96EC25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 xml:space="preserve">Supplemental Figure 6: Monoclonal CT26-luc clones selected based on </w:t>
      </w:r>
      <w:r w:rsidRPr="00B04B8F">
        <w:rPr>
          <w:rFonts w:ascii="Times" w:hAnsi="Times" w:cs="Times New Roman"/>
          <w:b/>
          <w:bCs/>
          <w:i/>
          <w:iCs/>
          <w:sz w:val="22"/>
          <w:szCs w:val="22"/>
        </w:rPr>
        <w:t>in vitro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and </w:t>
      </w:r>
      <w:r w:rsidRPr="00BE20BE">
        <w:rPr>
          <w:rFonts w:ascii="Times" w:hAnsi="Times" w:cs="Times New Roman"/>
          <w:b/>
          <w:bCs/>
          <w:i/>
          <w:iCs/>
          <w:sz w:val="22"/>
          <w:szCs w:val="22"/>
        </w:rPr>
        <w:t>in vivo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characteristics and injected </w:t>
      </w:r>
      <w:r w:rsidRPr="00BE20BE">
        <w:rPr>
          <w:rFonts w:ascii="Times" w:hAnsi="Times" w:cs="Times New Roman"/>
          <w:b/>
          <w:bCs/>
          <w:i/>
          <w:iCs/>
          <w:sz w:val="22"/>
          <w:szCs w:val="22"/>
        </w:rPr>
        <w:t>in vivo</w:t>
      </w:r>
      <w:r w:rsidRPr="00054608">
        <w:rPr>
          <w:rFonts w:ascii="Times" w:hAnsi="Times" w:cs="Times New Roman"/>
          <w:sz w:val="22"/>
          <w:szCs w:val="22"/>
        </w:rPr>
        <w:t>. (A) Luciferase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 xml:space="preserve">expression calculated for 22 clones of luciferase expression CT26 </w:t>
      </w:r>
      <w:r w:rsidRPr="00BE20BE">
        <w:rPr>
          <w:rFonts w:ascii="Times" w:hAnsi="Times" w:cs="Times New Roman"/>
          <w:i/>
          <w:iCs/>
          <w:sz w:val="22"/>
          <w:szCs w:val="22"/>
        </w:rPr>
        <w:t>in vitro</w:t>
      </w:r>
      <w:r w:rsidRPr="00054608">
        <w:rPr>
          <w:rFonts w:ascii="Times" w:hAnsi="Times" w:cs="Times New Roman"/>
          <w:sz w:val="22"/>
          <w:szCs w:val="22"/>
        </w:rPr>
        <w:t xml:space="preserve"> by bioluminescence (BLI). (B) Clones grown </w:t>
      </w:r>
      <w:r w:rsidRPr="00B04B8F">
        <w:rPr>
          <w:rFonts w:ascii="Times" w:hAnsi="Times" w:cs="Times New Roman"/>
          <w:i/>
          <w:iCs/>
          <w:sz w:val="22"/>
          <w:szCs w:val="22"/>
        </w:rPr>
        <w:t>in vitro</w:t>
      </w:r>
      <w:r w:rsidRPr="00054608">
        <w:rPr>
          <w:rFonts w:ascii="Times" w:hAnsi="Times" w:cs="Times New Roman"/>
          <w:sz w:val="22"/>
          <w:szCs w:val="22"/>
        </w:rPr>
        <w:t xml:space="preserve"> for 3 days and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counted every 24 hours. (C) 9 clones selected and expression of H2Kd, VCAM-1, PDL-1, and CD119 determined by flow cytometry. (D-F) 1.5 x10</w:t>
      </w:r>
      <w:r w:rsidRPr="00BE20BE">
        <w:rPr>
          <w:rFonts w:ascii="Times" w:hAnsi="Times" w:cs="Times New Roman"/>
          <w:sz w:val="22"/>
          <w:szCs w:val="22"/>
          <w:vertAlign w:val="superscript"/>
        </w:rPr>
        <w:t>5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CT26-luc cells injected intrarectally and treated with 5 fractions of either 2 Gy or 3 Gy per fraction from days 9-13. (D) Mice sacrificed on day 19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and primary tumor weight recorded. (E) Images of harvested tumors from day 19. (F) The ratio of responders to nonresponders calculated for each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dose.</w:t>
      </w:r>
    </w:p>
    <w:p w14:paraId="4AEE1238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N = 4 untreated, 5 irradiated</w:t>
      </w:r>
    </w:p>
    <w:p w14:paraId="2A3DD2D3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7: There are no differences in the number of tumor-infiltrating myeloid cells following SCRT.</w:t>
      </w:r>
      <w:r w:rsidRPr="00054608">
        <w:rPr>
          <w:rFonts w:ascii="Times" w:hAnsi="Times" w:cs="Times New Roman"/>
          <w:sz w:val="22"/>
          <w:szCs w:val="22"/>
        </w:rPr>
        <w:t xml:space="preserve"> (A) Untreated (UT) or irradiated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(SCRT; d9-13) tumors harvested on day 14 and weighed. (B) The ratio of CD45+ immune cells to CD45- tumor cells plotted for each sample. (C)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Immune subsets from untreated or irradiated (SCRT; d9-13) tumors harvested on day 14 and normalized per gram of tumor for untreated,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responding, and nonresponding tumors plotted as a bar graph.</w:t>
      </w:r>
    </w:p>
    <w:p w14:paraId="20CDB262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4 untreated, 10 irradiated (6 responders, 4 nonresponders)</w:t>
      </w:r>
    </w:p>
    <w:p w14:paraId="0E412941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lastRenderedPageBreak/>
        <w:t>A, C – Statistical significance determined by ANOVA.</w:t>
      </w:r>
    </w:p>
    <w:p w14:paraId="74D8594F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8: CD11b, Ly6C, Ly6G and F480 identif</w:t>
      </w:r>
      <w:r>
        <w:rPr>
          <w:rFonts w:ascii="Times" w:hAnsi="Times" w:cs="Times New Roman"/>
          <w:b/>
          <w:bCs/>
          <w:sz w:val="22"/>
          <w:szCs w:val="22"/>
        </w:rPr>
        <w:t>ied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TAMs.</w:t>
      </w:r>
      <w:r w:rsidRPr="00054608">
        <w:rPr>
          <w:rFonts w:ascii="Times" w:hAnsi="Times" w:cs="Times New Roman"/>
          <w:sz w:val="22"/>
          <w:szCs w:val="22"/>
        </w:rPr>
        <w:t xml:space="preserve"> (A) CD11b+ Ly6C- Ly6G- F480+ tumor associated macrophages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(TAMs) sorted from untreated or irradiated (SCRT; d9-13) tumor homogenates on day 14.</w:t>
      </w:r>
    </w:p>
    <w:p w14:paraId="2AE71C78" w14:textId="77777777" w:rsidR="008463F7" w:rsidRPr="00BE20BE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7F3BE94D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9: PDGFR</w:t>
      </w:r>
      <w:r w:rsidRPr="00BE20BE">
        <w:rPr>
          <w:rFonts w:ascii="Cambria Math" w:hAnsi="Cambria Math" w:cs="Cambria Math"/>
          <w:b/>
          <w:bCs/>
          <w:sz w:val="22"/>
          <w:szCs w:val="22"/>
        </w:rPr>
        <w:t>⍺</w:t>
      </w:r>
      <w:r w:rsidRPr="00BE20BE">
        <w:rPr>
          <w:rFonts w:ascii="Times" w:hAnsi="Times" w:cs="Times New Roman"/>
          <w:b/>
          <w:bCs/>
          <w:sz w:val="22"/>
          <w:szCs w:val="22"/>
        </w:rPr>
        <w:t>, podoplanan, and Ly6C identif</w:t>
      </w:r>
      <w:r>
        <w:rPr>
          <w:rFonts w:ascii="Times" w:hAnsi="Times" w:cs="Times New Roman"/>
          <w:b/>
          <w:bCs/>
          <w:sz w:val="22"/>
          <w:szCs w:val="22"/>
        </w:rPr>
        <w:t>ied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CAFs.</w:t>
      </w:r>
      <w:r w:rsidRPr="00054608">
        <w:rPr>
          <w:rFonts w:ascii="Times" w:hAnsi="Times" w:cs="Times New Roman"/>
          <w:sz w:val="22"/>
          <w:szCs w:val="22"/>
        </w:rPr>
        <w:t xml:space="preserve"> (A) CD45- CD31- GFP</w:t>
      </w:r>
      <w:r>
        <w:rPr>
          <w:rFonts w:ascii="Times" w:hAnsi="Times" w:cs="Times New Roman"/>
          <w:sz w:val="22"/>
          <w:szCs w:val="22"/>
        </w:rPr>
        <w:t xml:space="preserve">- </w:t>
      </w:r>
      <w:r w:rsidRPr="00054608">
        <w:rPr>
          <w:rFonts w:ascii="Times" w:hAnsi="Times" w:cs="Times New Roman"/>
          <w:sz w:val="22"/>
          <w:szCs w:val="22"/>
        </w:rPr>
        <w:t>Podoplanin+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PDGFR</w:t>
      </w:r>
      <w:r w:rsidRPr="00054608">
        <w:rPr>
          <w:rFonts w:ascii="Cambria Math" w:hAnsi="Cambria Math" w:cs="Cambria Math"/>
          <w:sz w:val="22"/>
          <w:szCs w:val="22"/>
        </w:rPr>
        <w:t>⍺</w:t>
      </w:r>
      <w:r w:rsidRPr="00054608">
        <w:rPr>
          <w:rFonts w:ascii="Times" w:hAnsi="Times" w:cs="Times New Roman"/>
          <w:sz w:val="22"/>
          <w:szCs w:val="22"/>
        </w:rPr>
        <w:t xml:space="preserve">+ Ly6C+ cancer associated fibroblasts (CAFs) sorted from </w:t>
      </w:r>
      <w:r w:rsidRPr="00BE20BE">
        <w:rPr>
          <w:rFonts w:ascii="Times" w:hAnsi="Times" w:cs="Times New Roman"/>
          <w:i/>
          <w:iCs/>
          <w:sz w:val="22"/>
          <w:szCs w:val="22"/>
        </w:rPr>
        <w:t>ex vivo</w:t>
      </w:r>
      <w:r w:rsidRPr="00054608">
        <w:rPr>
          <w:rFonts w:ascii="Times" w:hAnsi="Times" w:cs="Times New Roman"/>
          <w:sz w:val="22"/>
          <w:szCs w:val="22"/>
        </w:rPr>
        <w:t xml:space="preserve"> untreated and irradiated (SCRT; d9-13) tumors on day 14.</w:t>
      </w:r>
    </w:p>
    <w:p w14:paraId="38723AA4" w14:textId="77777777" w:rsidR="008463F7" w:rsidRPr="00BE20BE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11406F3C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10: GFP identif</w:t>
      </w:r>
      <w:r>
        <w:rPr>
          <w:rFonts w:ascii="Times" w:hAnsi="Times" w:cs="Times New Roman"/>
          <w:b/>
          <w:bCs/>
          <w:sz w:val="22"/>
          <w:szCs w:val="22"/>
        </w:rPr>
        <w:t>ied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tumor cells.</w:t>
      </w:r>
      <w:r w:rsidRPr="00054608">
        <w:rPr>
          <w:rFonts w:ascii="Times" w:hAnsi="Times" w:cs="Times New Roman"/>
          <w:sz w:val="22"/>
          <w:szCs w:val="22"/>
        </w:rPr>
        <w:t xml:space="preserve"> (A) CD45-, CD31-, GFP+ MC38 tumor cells sorted from </w:t>
      </w:r>
      <w:r w:rsidRPr="00BE20BE">
        <w:rPr>
          <w:rFonts w:ascii="Times" w:hAnsi="Times" w:cs="Times New Roman"/>
          <w:i/>
          <w:iCs/>
          <w:sz w:val="22"/>
          <w:szCs w:val="22"/>
        </w:rPr>
        <w:t>ex vivo</w:t>
      </w:r>
      <w:r w:rsidRPr="00054608">
        <w:rPr>
          <w:rFonts w:ascii="Times" w:hAnsi="Times" w:cs="Times New Roman"/>
          <w:sz w:val="22"/>
          <w:szCs w:val="22"/>
        </w:rPr>
        <w:t xml:space="preserve"> untreated and irradiated tumors (SCRT; d9-13) harvested on day 14.</w:t>
      </w:r>
    </w:p>
    <w:p w14:paraId="6FF8197A" w14:textId="77777777" w:rsidR="008463F7" w:rsidRPr="00BE20BE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1BF63E81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11: Increased doses of SCRT result in an increased ratio of responders</w:t>
      </w:r>
      <w:r w:rsidRPr="00054608">
        <w:rPr>
          <w:rFonts w:ascii="Times" w:hAnsi="Times" w:cs="Times New Roman"/>
          <w:sz w:val="22"/>
          <w:szCs w:val="22"/>
        </w:rPr>
        <w:t>. (A, C, E) Tumors harvested on day 27 following</w:t>
      </w:r>
      <w:r>
        <w:rPr>
          <w:rFonts w:ascii="Times" w:hAnsi="Times" w:cs="Times New Roman"/>
          <w:sz w:val="22"/>
          <w:szCs w:val="22"/>
        </w:rPr>
        <w:t xml:space="preserve"> fractionated </w:t>
      </w:r>
      <w:r w:rsidRPr="00054608">
        <w:rPr>
          <w:rFonts w:ascii="Times" w:hAnsi="Times" w:cs="Times New Roman"/>
          <w:sz w:val="22"/>
          <w:szCs w:val="22"/>
        </w:rPr>
        <w:t>RT from days 9-13 (A – 5 Gy x 5Fr.; C – 8 Gy x 5 Fr.; E – 12 Gy x 5 Fr.). (B, D, F) The ratio of responders to nonresponders plotted in a pie chart.</w:t>
      </w:r>
      <w:r>
        <w:rPr>
          <w:rFonts w:ascii="Times" w:hAnsi="Times" w:cs="Times New Roman"/>
          <w:sz w:val="22"/>
          <w:szCs w:val="22"/>
        </w:rPr>
        <w:t xml:space="preserve"> </w:t>
      </w:r>
    </w:p>
    <w:p w14:paraId="50C8A4F7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054608">
        <w:rPr>
          <w:rFonts w:ascii="Times" w:hAnsi="Times" w:cs="Times New Roman"/>
          <w:sz w:val="22"/>
          <w:szCs w:val="22"/>
        </w:rPr>
        <w:t>N = 5 nonresponders, 4 responders for 5 Gy; 4 nonresponders, 6 responders for 8 Gy; 2 nonresponders, 7 responders for 12 Gy.</w:t>
      </w:r>
    </w:p>
    <w:p w14:paraId="3C6D8A39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A, C, E – Statistical significance determined by T test.</w:t>
      </w:r>
    </w:p>
    <w:p w14:paraId="515C7529" w14:textId="77777777" w:rsidR="008463F7" w:rsidRPr="00054608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12: Spatial transcriptomics identified 9 distinct clusters in the TME.</w:t>
      </w:r>
      <w:r w:rsidRPr="00054608">
        <w:rPr>
          <w:rFonts w:ascii="Times" w:hAnsi="Times" w:cs="Times New Roman"/>
          <w:sz w:val="22"/>
          <w:szCs w:val="22"/>
        </w:rPr>
        <w:t xml:space="preserve"> (A) RNA yield determined that regions 5 and 6 had low RNA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levels, which correlated with areas of necrosis identified by the arrow. (B) A bubble plot was created for each cluster based on expression of key populations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within the tumor microenvironment (TME): Epcam as a marker of normal rectal tissue, Cdk6 (cytokeratin 6) as a marker of tumor cells, Pdpn (podoplanin) for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cancer associated fibroblasts (CAFs), Ptprc (CD45) as a general immune marker, CD3e/CD4/CD8a/FoxP3 as markers of distinct T cell populations, Itgax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(CD11c) as a marker of dendritic cells (DC), Xcr1 as a marker of antigen presenting cells, Ly6g to classify neutrophils, Itgam (CD11b) as a pan myeloid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marker, CD14 as a monocyte/macrophage marker.</w:t>
      </w:r>
    </w:p>
    <w:p w14:paraId="63079888" w14:textId="77777777" w:rsidR="008463F7" w:rsidRPr="00054608" w:rsidRDefault="008463F7" w:rsidP="008463F7">
      <w:pPr>
        <w:pStyle w:val="Thesis2"/>
        <w:jc w:val="both"/>
        <w:rPr>
          <w:rFonts w:ascii="Times" w:hAnsi="Times"/>
          <w:b w:val="0"/>
          <w:bCs w:val="0"/>
          <w:sz w:val="22"/>
          <w:szCs w:val="22"/>
        </w:rPr>
      </w:pPr>
      <w:r w:rsidRPr="00054608">
        <w:rPr>
          <w:rFonts w:ascii="Times" w:hAnsi="Times"/>
          <w:b w:val="0"/>
          <w:bCs w:val="0"/>
          <w:sz w:val="22"/>
          <w:szCs w:val="22"/>
        </w:rPr>
        <w:t>One individual sample from N = 3</w:t>
      </w:r>
    </w:p>
    <w:p w14:paraId="3573962A" w14:textId="77777777" w:rsidR="008463F7" w:rsidRPr="00BE20BE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 xml:space="preserve">Supplemental Figure 13 CD8 </w:t>
      </w:r>
      <w:r>
        <w:rPr>
          <w:rFonts w:ascii="Times" w:hAnsi="Times" w:cs="Times New Roman"/>
          <w:b/>
          <w:bCs/>
          <w:sz w:val="22"/>
          <w:szCs w:val="22"/>
        </w:rPr>
        <w:t>identified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 CD8+ T cells.</w:t>
      </w:r>
      <w:r w:rsidRPr="00054608">
        <w:rPr>
          <w:rFonts w:ascii="Times" w:hAnsi="Times" w:cs="Times New Roman"/>
          <w:sz w:val="22"/>
          <w:szCs w:val="22"/>
        </w:rPr>
        <w:t xml:space="preserve"> (A) CD45+, CD8+ T cells sorted from untreated or irradiated (SCRT; d9-13) tumor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homogenates on day 14.</w:t>
      </w:r>
    </w:p>
    <w:p w14:paraId="2E548D4B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7CBD4D62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  <w:r w:rsidRPr="00BE20BE">
        <w:rPr>
          <w:rFonts w:ascii="Times" w:hAnsi="Times" w:cs="Times New Roman"/>
          <w:b/>
          <w:bCs/>
          <w:sz w:val="22"/>
          <w:szCs w:val="22"/>
        </w:rPr>
        <w:t>Supplemental Figure 1</w:t>
      </w:r>
      <w:r>
        <w:rPr>
          <w:rFonts w:ascii="Times" w:hAnsi="Times" w:cs="Times New Roman"/>
          <w:b/>
          <w:bCs/>
          <w:sz w:val="22"/>
          <w:szCs w:val="22"/>
        </w:rPr>
        <w:t>4</w:t>
      </w:r>
      <w:r w:rsidRPr="00BE20BE">
        <w:rPr>
          <w:rFonts w:ascii="Times" w:hAnsi="Times" w:cs="Times New Roman"/>
          <w:b/>
          <w:bCs/>
          <w:sz w:val="22"/>
          <w:szCs w:val="22"/>
        </w:rPr>
        <w:t xml:space="preserve">: High STING1 expression correlates with enhanced survival. </w:t>
      </w:r>
      <w:r w:rsidRPr="00054608">
        <w:rPr>
          <w:rFonts w:ascii="Times" w:hAnsi="Times" w:cs="Times New Roman"/>
          <w:sz w:val="22"/>
          <w:szCs w:val="22"/>
        </w:rPr>
        <w:t>(A) Human colorectal cancer (CRC) survival collected from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the Human Protein Atlas and stratified by STING1 expression. Pink curve signifies patients with high STING1 expression while blue curve represents patients</w:t>
      </w:r>
      <w:r>
        <w:rPr>
          <w:rFonts w:ascii="Times" w:hAnsi="Times" w:cs="Times New Roman"/>
          <w:sz w:val="22"/>
          <w:szCs w:val="22"/>
        </w:rPr>
        <w:t xml:space="preserve"> </w:t>
      </w:r>
      <w:r w:rsidRPr="00054608">
        <w:rPr>
          <w:rFonts w:ascii="Times" w:hAnsi="Times" w:cs="Times New Roman"/>
          <w:sz w:val="22"/>
          <w:szCs w:val="22"/>
        </w:rPr>
        <w:t>with low STING1 expression.</w:t>
      </w:r>
    </w:p>
    <w:p w14:paraId="2DCA1528" w14:textId="77777777" w:rsidR="008463F7" w:rsidRDefault="008463F7" w:rsidP="008463F7">
      <w:pPr>
        <w:autoSpaceDE w:val="0"/>
        <w:autoSpaceDN w:val="0"/>
        <w:adjustRightInd w:val="0"/>
        <w:jc w:val="both"/>
        <w:rPr>
          <w:rFonts w:ascii="Times" w:hAnsi="Times" w:cs="Times New Roman"/>
          <w:sz w:val="22"/>
          <w:szCs w:val="22"/>
        </w:rPr>
      </w:pPr>
    </w:p>
    <w:p w14:paraId="1941C6B9" w14:textId="77777777" w:rsidR="00FE79EC" w:rsidRDefault="00FE79EC"/>
    <w:sectPr w:rsidR="00FE79EC" w:rsidSect="008463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F7"/>
    <w:rsid w:val="00000292"/>
    <w:rsid w:val="00062125"/>
    <w:rsid w:val="00074B8C"/>
    <w:rsid w:val="00084044"/>
    <w:rsid w:val="000B68C6"/>
    <w:rsid w:val="000D003C"/>
    <w:rsid w:val="0011178A"/>
    <w:rsid w:val="00124FB0"/>
    <w:rsid w:val="00162AF7"/>
    <w:rsid w:val="001844DE"/>
    <w:rsid w:val="001B5A5F"/>
    <w:rsid w:val="001D778F"/>
    <w:rsid w:val="002B57DE"/>
    <w:rsid w:val="00302FF7"/>
    <w:rsid w:val="0034429C"/>
    <w:rsid w:val="00435FE6"/>
    <w:rsid w:val="00460E3A"/>
    <w:rsid w:val="00496D3E"/>
    <w:rsid w:val="004E7513"/>
    <w:rsid w:val="00555CCA"/>
    <w:rsid w:val="005D1BBC"/>
    <w:rsid w:val="005E650D"/>
    <w:rsid w:val="006258BE"/>
    <w:rsid w:val="00695C54"/>
    <w:rsid w:val="006E2B40"/>
    <w:rsid w:val="007023EB"/>
    <w:rsid w:val="0071746C"/>
    <w:rsid w:val="00717B6A"/>
    <w:rsid w:val="0074285D"/>
    <w:rsid w:val="007465B7"/>
    <w:rsid w:val="00753C27"/>
    <w:rsid w:val="0076728A"/>
    <w:rsid w:val="00775EDB"/>
    <w:rsid w:val="007B0AE3"/>
    <w:rsid w:val="007C1F9D"/>
    <w:rsid w:val="007C62E3"/>
    <w:rsid w:val="0083375E"/>
    <w:rsid w:val="008463F7"/>
    <w:rsid w:val="008651FB"/>
    <w:rsid w:val="008672E9"/>
    <w:rsid w:val="008C01CA"/>
    <w:rsid w:val="00905839"/>
    <w:rsid w:val="009069E8"/>
    <w:rsid w:val="00910F36"/>
    <w:rsid w:val="009B59D4"/>
    <w:rsid w:val="009C57F1"/>
    <w:rsid w:val="009F1553"/>
    <w:rsid w:val="00A75298"/>
    <w:rsid w:val="00A91522"/>
    <w:rsid w:val="00AA306B"/>
    <w:rsid w:val="00AB0115"/>
    <w:rsid w:val="00B00F76"/>
    <w:rsid w:val="00B11F8E"/>
    <w:rsid w:val="00B844FF"/>
    <w:rsid w:val="00BA022C"/>
    <w:rsid w:val="00BB4804"/>
    <w:rsid w:val="00BD2827"/>
    <w:rsid w:val="00C04B26"/>
    <w:rsid w:val="00C12E4C"/>
    <w:rsid w:val="00C87869"/>
    <w:rsid w:val="00CD3648"/>
    <w:rsid w:val="00CD62EC"/>
    <w:rsid w:val="00D268C1"/>
    <w:rsid w:val="00DB3BF0"/>
    <w:rsid w:val="00DD27DD"/>
    <w:rsid w:val="00DD2BDC"/>
    <w:rsid w:val="00E0336D"/>
    <w:rsid w:val="00E225BC"/>
    <w:rsid w:val="00E31DD2"/>
    <w:rsid w:val="00E42C9F"/>
    <w:rsid w:val="00E54B37"/>
    <w:rsid w:val="00E57CF5"/>
    <w:rsid w:val="00E83C73"/>
    <w:rsid w:val="00F14BAF"/>
    <w:rsid w:val="00F95EA2"/>
    <w:rsid w:val="00F97346"/>
    <w:rsid w:val="00FE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E47AEC"/>
  <w15:chartTrackingRefBased/>
  <w15:docId w15:val="{54E1BC2C-28D2-6844-B3AD-3519CE6C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3F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3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2">
    <w:name w:val="Thesis 2"/>
    <w:basedOn w:val="Heading2"/>
    <w:qFormat/>
    <w:rsid w:val="008463F7"/>
    <w:pPr>
      <w:spacing w:line="480" w:lineRule="auto"/>
    </w:pPr>
    <w:rPr>
      <w:rFonts w:ascii="Times New Roman" w:hAnsi="Times New Roman" w:cs="Times New Roman"/>
      <w:b/>
      <w:bCs/>
      <w:color w:val="000000" w:themeColor="text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3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Uccello, Taylor</dc:creator>
  <cp:keywords/>
  <dc:description/>
  <cp:lastModifiedBy>Uccello, Taylor</cp:lastModifiedBy>
  <cp:revision>3</cp:revision>
  <dcterms:created xsi:type="dcterms:W3CDTF">2023-03-15T19:58:00Z</dcterms:created>
  <dcterms:modified xsi:type="dcterms:W3CDTF">2023-04-01T12:57:00Z</dcterms:modified>
</cp:coreProperties>
</file>