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F2F2C" w14:textId="4F876C52" w:rsidR="008051EA" w:rsidRPr="008051EA" w:rsidRDefault="008051EA" w:rsidP="008051EA">
      <w:pPr>
        <w:jc w:val="center"/>
        <w:rPr>
          <w:b/>
          <w:bCs/>
          <w:sz w:val="24"/>
          <w:szCs w:val="24"/>
          <w:lang w:val="en-US"/>
        </w:rPr>
      </w:pPr>
      <w:r w:rsidRPr="008051EA">
        <w:rPr>
          <w:b/>
          <w:bCs/>
          <w:sz w:val="24"/>
          <w:szCs w:val="24"/>
          <w:lang w:val="en-US"/>
        </w:rPr>
        <w:t>SUPPORTING INFORMATION</w:t>
      </w:r>
    </w:p>
    <w:p w14:paraId="1246527E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</w:pPr>
      <w:r w:rsidRPr="0053278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>Fallopian tube lesions as potential precursors of early ovarian cancer: A comprehensive proteomic analysis.</w:t>
      </w:r>
    </w:p>
    <w:p w14:paraId="4D832EB3" w14:textId="77777777" w:rsidR="00532780" w:rsidRPr="00532780" w:rsidRDefault="00532780" w:rsidP="00532780">
      <w:pPr>
        <w:spacing w:after="20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</w:pP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Maxence Wisztorski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1*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</w:t>
      </w:r>
      <w:proofErr w:type="spellStart"/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Soulaimane</w:t>
      </w:r>
      <w:proofErr w:type="spellEnd"/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Aboulouard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1*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 xml:space="preserve"> 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Lucas Roussel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1*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Marie Duhamel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1*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Philippe Saudemont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Tristan Cardon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Fabrice Narducci,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1,2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Yves-Marie Robin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1,2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Anne-Sophie Lemaire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1,2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Delphine Bertin 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1,2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</w:t>
      </w:r>
      <w:proofErr w:type="spellStart"/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Nawale</w:t>
      </w:r>
      <w:proofErr w:type="spellEnd"/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Hajjaji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1,3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Firas Kobeissy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4,5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Eric Leblanc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1,2</w:t>
      </w:r>
      <w:r w:rsidRPr="00532780">
        <w:rPr>
          <w:rFonts w:ascii="Calibri" w:eastAsia="Calibri" w:hAnsi="Calibri" w:cs="Calibri"/>
          <w:sz w:val="24"/>
          <w:szCs w:val="24"/>
          <w:vertAlign w:val="superscript"/>
          <w:lang w:val="en-US" w:eastAsia="fr-FR"/>
        </w:rPr>
        <w:t>ǂ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 Isabelle Fournier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1,6</w:t>
      </w:r>
      <w:r w:rsidRPr="00532780">
        <w:rPr>
          <w:rFonts w:ascii="Calibri" w:eastAsia="Calibri" w:hAnsi="Calibri" w:cs="Calibri"/>
          <w:sz w:val="24"/>
          <w:szCs w:val="24"/>
          <w:vertAlign w:val="superscript"/>
          <w:lang w:val="en-US" w:eastAsia="fr-FR"/>
        </w:rPr>
        <w:t>ǂ*</w:t>
      </w:r>
      <w:r w:rsidRPr="00532780">
        <w:rPr>
          <w:rFonts w:ascii="Calibri" w:eastAsia="Calibri" w:hAnsi="Calibri" w:cs="Calibri"/>
          <w:sz w:val="24"/>
          <w:szCs w:val="24"/>
          <w:lang w:val="en-US" w:eastAsia="fr-FR"/>
        </w:rPr>
        <w:t xml:space="preserve">, 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Michel Salzet</w:t>
      </w: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1,6</w:t>
      </w:r>
      <w:r w:rsidRPr="00532780">
        <w:rPr>
          <w:rFonts w:ascii="Calibri" w:eastAsia="Calibri" w:hAnsi="Calibri" w:cs="Calibri"/>
          <w:sz w:val="24"/>
          <w:szCs w:val="24"/>
          <w:vertAlign w:val="superscript"/>
          <w:lang w:val="en-US" w:eastAsia="fr-FR"/>
        </w:rPr>
        <w:t>ǂ*</w:t>
      </w:r>
    </w:p>
    <w:p w14:paraId="3CA3565B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14:paraId="6134A5EA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fr-FR"/>
        </w:rPr>
        <w:t>1</w:t>
      </w:r>
      <w:r w:rsidRPr="00532780">
        <w:rPr>
          <w:rFonts w:ascii="Times New Roman" w:eastAsia="Times New Roman" w:hAnsi="Times New Roman" w:cs="Times New Roman"/>
          <w:sz w:val="24"/>
          <w:szCs w:val="24"/>
          <w:lang w:eastAsia="fr-FR"/>
        </w:rPr>
        <w:t>Univ.Lille, Inserm, CHU Lille, U-1192 – Laboratoire Protéomique Réponse Inflammatoire Spectrométrie de Masse - PRISM, F-59000 Lille, France</w:t>
      </w:r>
    </w:p>
    <w:p w14:paraId="3BCDFF70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 xml:space="preserve">2 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Department of Gynecology Oncology, Oscar </w:t>
      </w:r>
      <w:proofErr w:type="spellStart"/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Lambret</w:t>
      </w:r>
      <w:proofErr w:type="spellEnd"/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Cancer Center, 59020 Lille, France</w:t>
      </w:r>
    </w:p>
    <w:p w14:paraId="68CD4812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>3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Medical Oncology Department, Oscar </w:t>
      </w:r>
      <w:proofErr w:type="spellStart"/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Lambret</w:t>
      </w:r>
      <w:proofErr w:type="spellEnd"/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Cancer Center, 59020 Lille, France</w:t>
      </w:r>
    </w:p>
    <w:p w14:paraId="2652D952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</w:pP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 xml:space="preserve">4 </w:t>
      </w:r>
      <w:r w:rsidRPr="00532780">
        <w:rPr>
          <w:rFonts w:ascii="Arial" w:eastAsia="Times New Roman" w:hAnsi="Arial" w:cs="Arial"/>
          <w:sz w:val="21"/>
          <w:szCs w:val="21"/>
          <w:lang w:val="en-US" w:eastAsia="fr-FR"/>
        </w:rPr>
        <w:t xml:space="preserve">Department of Neurobiology, Center for Neurotrauma, </w:t>
      </w:r>
      <w:proofErr w:type="spellStart"/>
      <w:r w:rsidRPr="00532780">
        <w:rPr>
          <w:rFonts w:ascii="Arial" w:eastAsia="Times New Roman" w:hAnsi="Arial" w:cs="Arial"/>
          <w:sz w:val="21"/>
          <w:szCs w:val="21"/>
          <w:lang w:val="en-US" w:eastAsia="fr-FR"/>
        </w:rPr>
        <w:t>Multiomics</w:t>
      </w:r>
      <w:proofErr w:type="spellEnd"/>
      <w:r w:rsidRPr="00532780">
        <w:rPr>
          <w:rFonts w:ascii="Arial" w:eastAsia="Times New Roman" w:hAnsi="Arial" w:cs="Arial"/>
          <w:sz w:val="21"/>
          <w:szCs w:val="21"/>
          <w:lang w:val="en-US" w:eastAsia="fr-FR"/>
        </w:rPr>
        <w:t xml:space="preserve"> &amp; Biomarkers (CNMB), </w:t>
      </w:r>
      <w:proofErr w:type="spellStart"/>
      <w:r w:rsidRPr="00532780">
        <w:rPr>
          <w:rFonts w:ascii="Arial" w:eastAsia="Times New Roman" w:hAnsi="Arial" w:cs="Arial"/>
          <w:sz w:val="21"/>
          <w:szCs w:val="21"/>
          <w:lang w:val="en-US" w:eastAsia="fr-FR"/>
        </w:rPr>
        <w:t>MorehouseSchool</w:t>
      </w:r>
      <w:proofErr w:type="spellEnd"/>
      <w:r w:rsidRPr="00532780">
        <w:rPr>
          <w:rFonts w:ascii="Arial" w:eastAsia="Times New Roman" w:hAnsi="Arial" w:cs="Arial"/>
          <w:sz w:val="21"/>
          <w:szCs w:val="21"/>
          <w:lang w:val="en-US" w:eastAsia="fr-FR"/>
        </w:rPr>
        <w:t xml:space="preserve"> of Medicine, GA 30310 Atlanta, GA, United States</w:t>
      </w:r>
    </w:p>
    <w:p w14:paraId="5367DF27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532780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fr-FR"/>
        </w:rPr>
        <w:t xml:space="preserve">5 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Department of Biochemistry and Molecular Genetics, Faculty of Medicine, American University of Beirut, Beirut, Lebanon.</w:t>
      </w:r>
    </w:p>
    <w:p w14:paraId="52E8B621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  <w:r w:rsidRPr="00532780">
        <w:rPr>
          <w:rFonts w:ascii="Times New Roman" w:eastAsia="Times New Roman" w:hAnsi="Times New Roman" w:cs="Times New Roman"/>
          <w:vertAlign w:val="superscript"/>
          <w:lang w:val="en-GB" w:eastAsia="fr-FR"/>
        </w:rPr>
        <w:t xml:space="preserve">6 </w:t>
      </w:r>
      <w:proofErr w:type="spellStart"/>
      <w:r w:rsidRPr="00532780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Institut</w:t>
      </w:r>
      <w:proofErr w:type="spellEnd"/>
      <w:r w:rsidRPr="00532780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 </w:t>
      </w:r>
      <w:proofErr w:type="spellStart"/>
      <w:r w:rsidRPr="00532780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>Universitaire</w:t>
      </w:r>
      <w:proofErr w:type="spellEnd"/>
      <w:r w:rsidRPr="00532780"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  <w:t xml:space="preserve"> de France, 75000 Paris</w:t>
      </w:r>
    </w:p>
    <w:p w14:paraId="449FFD75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fr-FR"/>
        </w:rPr>
      </w:pPr>
    </w:p>
    <w:p w14:paraId="48CB59CE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*Equivalent contribution, Co first author</w:t>
      </w:r>
    </w:p>
    <w:p w14:paraId="3C4107AE" w14:textId="77777777" w:rsidR="00532780" w:rsidRPr="00532780" w:rsidRDefault="00532780" w:rsidP="00532780">
      <w:pPr>
        <w:spacing w:after="20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532780">
        <w:rPr>
          <w:rFonts w:ascii="Calibri" w:eastAsia="Calibri" w:hAnsi="Calibri" w:cs="Calibri"/>
          <w:b/>
          <w:sz w:val="24"/>
          <w:szCs w:val="24"/>
          <w:vertAlign w:val="superscript"/>
          <w:lang w:val="en-US" w:eastAsia="fr-FR"/>
        </w:rPr>
        <w:t xml:space="preserve">ǂ </w:t>
      </w:r>
      <w:r w:rsidRPr="00532780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Co-Corresponding author, Co Last author</w:t>
      </w:r>
    </w:p>
    <w:p w14:paraId="130C84B1" w14:textId="25D081DE" w:rsidR="00532780" w:rsidRDefault="00532780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79C8F5B8" w14:textId="0441C1A7" w:rsidR="008051EA" w:rsidRPr="00294905" w:rsidRDefault="008051EA" w:rsidP="008051EA">
      <w:pPr>
        <w:rPr>
          <w:b/>
          <w:bCs/>
          <w:sz w:val="24"/>
          <w:szCs w:val="24"/>
          <w:lang w:val="en-US"/>
        </w:rPr>
      </w:pPr>
      <w:r w:rsidRPr="00294905">
        <w:rPr>
          <w:b/>
          <w:bCs/>
          <w:sz w:val="24"/>
          <w:szCs w:val="24"/>
          <w:lang w:val="en-US"/>
        </w:rPr>
        <w:lastRenderedPageBreak/>
        <w:t xml:space="preserve">TABLE </w:t>
      </w:r>
      <w:r w:rsidR="00532780">
        <w:rPr>
          <w:b/>
          <w:bCs/>
          <w:sz w:val="24"/>
          <w:szCs w:val="24"/>
          <w:lang w:val="en-US"/>
        </w:rPr>
        <w:t>OF</w:t>
      </w:r>
      <w:r w:rsidRPr="00294905">
        <w:rPr>
          <w:b/>
          <w:bCs/>
          <w:sz w:val="24"/>
          <w:szCs w:val="24"/>
          <w:lang w:val="en-US"/>
        </w:rPr>
        <w:t xml:space="preserve"> CONTENTS</w:t>
      </w:r>
    </w:p>
    <w:p w14:paraId="04C01EF5" w14:textId="5D2500F7" w:rsidR="008051EA" w:rsidRPr="00991A03" w:rsidRDefault="008051EA" w:rsidP="008051EA">
      <w:pPr>
        <w:rPr>
          <w:b/>
          <w:bCs/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>Supplementary files:</w:t>
      </w:r>
    </w:p>
    <w:p w14:paraId="2040A778" w14:textId="2AFDD29D" w:rsidR="008051EA" w:rsidRDefault="008051EA" w:rsidP="008051EA">
      <w:pPr>
        <w:rPr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>Supp. Data 1:</w:t>
      </w:r>
      <w:r>
        <w:rPr>
          <w:sz w:val="24"/>
          <w:szCs w:val="24"/>
          <w:lang w:val="en-US"/>
        </w:rPr>
        <w:t xml:space="preserve"> List of </w:t>
      </w:r>
      <w:r w:rsidR="001A30A1">
        <w:rPr>
          <w:sz w:val="24"/>
          <w:szCs w:val="24"/>
          <w:lang w:val="en-US"/>
        </w:rPr>
        <w:t xml:space="preserve">quantified </w:t>
      </w:r>
      <w:r>
        <w:rPr>
          <w:sz w:val="24"/>
          <w:szCs w:val="24"/>
          <w:lang w:val="en-US"/>
        </w:rPr>
        <w:t>proteins corresponding to Venn diagram for lesions comparison</w:t>
      </w:r>
    </w:p>
    <w:p w14:paraId="3471F22B" w14:textId="6F33276C" w:rsidR="008051EA" w:rsidRDefault="008051EA" w:rsidP="008051EA">
      <w:pPr>
        <w:rPr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>Supp. Data 2:</w:t>
      </w:r>
      <w:r>
        <w:rPr>
          <w:sz w:val="24"/>
          <w:szCs w:val="24"/>
          <w:lang w:val="en-US"/>
        </w:rPr>
        <w:t xml:space="preserve"> List of</w:t>
      </w:r>
      <w:r w:rsidR="001A30A1">
        <w:rPr>
          <w:sz w:val="24"/>
          <w:szCs w:val="24"/>
          <w:lang w:val="en-US"/>
        </w:rPr>
        <w:t xml:space="preserve"> quantified</w:t>
      </w:r>
      <w:r>
        <w:rPr>
          <w:sz w:val="24"/>
          <w:szCs w:val="24"/>
          <w:lang w:val="en-US"/>
        </w:rPr>
        <w:t xml:space="preserve"> proteins corresponding to Venn diagram for lesions and HGSC comparison</w:t>
      </w:r>
    </w:p>
    <w:p w14:paraId="78A08EE4" w14:textId="3F819E49" w:rsidR="008051EA" w:rsidRDefault="008051EA" w:rsidP="008051EA">
      <w:pPr>
        <w:rPr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>Supp. Data 3:</w:t>
      </w:r>
      <w:r>
        <w:rPr>
          <w:sz w:val="24"/>
          <w:szCs w:val="24"/>
          <w:lang w:val="en-US"/>
        </w:rPr>
        <w:t xml:space="preserve"> </w:t>
      </w:r>
      <w:r w:rsidR="00991A03">
        <w:rPr>
          <w:sz w:val="24"/>
          <w:szCs w:val="24"/>
          <w:lang w:val="en-US"/>
        </w:rPr>
        <w:t>L</w:t>
      </w:r>
      <w:r>
        <w:rPr>
          <w:sz w:val="24"/>
          <w:szCs w:val="24"/>
          <w:lang w:val="en-US"/>
        </w:rPr>
        <w:t xml:space="preserve">ist of </w:t>
      </w:r>
      <w:r w:rsidR="001A30A1">
        <w:rPr>
          <w:sz w:val="24"/>
          <w:szCs w:val="24"/>
          <w:lang w:val="en-US"/>
        </w:rPr>
        <w:t xml:space="preserve">quantified </w:t>
      </w:r>
      <w:r>
        <w:rPr>
          <w:sz w:val="24"/>
          <w:szCs w:val="24"/>
          <w:lang w:val="en-US"/>
        </w:rPr>
        <w:t>proteins significantly modified in the different preneoplastic lesions</w:t>
      </w:r>
    </w:p>
    <w:p w14:paraId="16026AEA" w14:textId="2272AEC8" w:rsidR="001A30A1" w:rsidRPr="008051EA" w:rsidRDefault="001A30A1" w:rsidP="001A30A1">
      <w:pPr>
        <w:rPr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>Supp. Data 4:</w:t>
      </w:r>
      <w:r>
        <w:rPr>
          <w:sz w:val="24"/>
          <w:szCs w:val="24"/>
          <w:lang w:val="en-US"/>
        </w:rPr>
        <w:t xml:space="preserve"> Significantly enriched pathways obtained by enrichment analysis using Panther Db</w:t>
      </w:r>
    </w:p>
    <w:p w14:paraId="2DF61C86" w14:textId="6C28B938" w:rsidR="008051EA" w:rsidRDefault="001A30A1" w:rsidP="008051EA">
      <w:pPr>
        <w:rPr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>Supp. Data 5:</w:t>
      </w:r>
      <w:r>
        <w:rPr>
          <w:sz w:val="24"/>
          <w:szCs w:val="24"/>
          <w:lang w:val="en-US"/>
        </w:rPr>
        <w:t xml:space="preserve"> Quantitative comparison of proteins modified between normal tissue and p53 signature</w:t>
      </w:r>
    </w:p>
    <w:p w14:paraId="26DEF324" w14:textId="7EB46374" w:rsidR="003F33E7" w:rsidRPr="00532780" w:rsidRDefault="003F33E7" w:rsidP="003F33E7">
      <w:pPr>
        <w:spacing w:after="0" w:line="276" w:lineRule="auto"/>
        <w:rPr>
          <w:lang w:val="en-GB"/>
        </w:rPr>
      </w:pPr>
      <w:r w:rsidRPr="00532780">
        <w:rPr>
          <w:b/>
          <w:lang w:val="en-GB"/>
        </w:rPr>
        <w:t>Supp. Data 6</w:t>
      </w:r>
      <w:r w:rsidRPr="00532780">
        <w:rPr>
          <w:lang w:val="en-GB"/>
        </w:rPr>
        <w:t xml:space="preserve"> : Immunohistochemistry experiments performed by fluorescence based on the specific markers (CAVIN1,CAVIN2, EIF3B, SPTAN1) identified from the different neoplastic lesion compared to healthy tissues. </w:t>
      </w:r>
    </w:p>
    <w:p w14:paraId="71569054" w14:textId="7EE98562" w:rsidR="001A30A1" w:rsidRDefault="001A30A1" w:rsidP="008051EA">
      <w:pPr>
        <w:rPr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 xml:space="preserve">Supp. Data </w:t>
      </w:r>
      <w:r w:rsidR="003F33E7">
        <w:rPr>
          <w:b/>
          <w:bCs/>
          <w:sz w:val="24"/>
          <w:szCs w:val="24"/>
          <w:lang w:val="en-US"/>
        </w:rPr>
        <w:t>7</w:t>
      </w:r>
      <w:r w:rsidRPr="00991A03">
        <w:rPr>
          <w:b/>
          <w:bCs/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List of mutated peptides identified using the </w:t>
      </w:r>
      <w:proofErr w:type="spellStart"/>
      <w:r>
        <w:rPr>
          <w:sz w:val="24"/>
          <w:szCs w:val="24"/>
          <w:lang w:val="en-US"/>
        </w:rPr>
        <w:t>XMAn</w:t>
      </w:r>
      <w:proofErr w:type="spellEnd"/>
      <w:r>
        <w:rPr>
          <w:sz w:val="24"/>
          <w:szCs w:val="24"/>
          <w:lang w:val="en-US"/>
        </w:rPr>
        <w:t xml:space="preserve"> database</w:t>
      </w:r>
    </w:p>
    <w:p w14:paraId="1C22C3A3" w14:textId="56741F61" w:rsidR="001A30A1" w:rsidRPr="008051EA" w:rsidRDefault="001A30A1" w:rsidP="008051EA">
      <w:pPr>
        <w:rPr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 xml:space="preserve">Supp. Data </w:t>
      </w:r>
      <w:r w:rsidR="003F33E7">
        <w:rPr>
          <w:b/>
          <w:bCs/>
          <w:sz w:val="24"/>
          <w:szCs w:val="24"/>
          <w:lang w:val="en-US"/>
        </w:rPr>
        <w:t>8</w:t>
      </w:r>
      <w:r w:rsidRPr="00991A03">
        <w:rPr>
          <w:b/>
          <w:bCs/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List of alternatives proteins identified </w:t>
      </w:r>
    </w:p>
    <w:p w14:paraId="6A5154A9" w14:textId="77777777" w:rsidR="00991A03" w:rsidRDefault="00991A03" w:rsidP="008051EA">
      <w:pPr>
        <w:rPr>
          <w:sz w:val="24"/>
          <w:szCs w:val="24"/>
          <w:lang w:val="en-US"/>
        </w:rPr>
      </w:pPr>
    </w:p>
    <w:p w14:paraId="19950A55" w14:textId="4D29D533" w:rsidR="001A30A1" w:rsidRDefault="001A30A1" w:rsidP="008051EA">
      <w:pPr>
        <w:rPr>
          <w:b/>
          <w:bCs/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>Supplementary figures</w:t>
      </w:r>
      <w:r w:rsidR="00991A03">
        <w:rPr>
          <w:b/>
          <w:bCs/>
          <w:sz w:val="24"/>
          <w:szCs w:val="24"/>
          <w:lang w:val="en-US"/>
        </w:rPr>
        <w:t>:</w:t>
      </w:r>
    </w:p>
    <w:p w14:paraId="5501D1E7" w14:textId="49A9F8B2" w:rsidR="00E86E16" w:rsidRPr="00991A03" w:rsidRDefault="00E86E16" w:rsidP="008051EA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Figure S1: </w:t>
      </w:r>
      <w:r w:rsidR="00BD4E6E" w:rsidRPr="00BD4E6E">
        <w:rPr>
          <w:sz w:val="24"/>
          <w:szCs w:val="24"/>
          <w:lang w:val="en-US"/>
        </w:rPr>
        <w:t>Mass Spectrometry Imaging of different preneoplastic lesions.</w:t>
      </w:r>
    </w:p>
    <w:p w14:paraId="32C8B711" w14:textId="77777777" w:rsidR="00BD4E6E" w:rsidRDefault="001A30A1">
      <w:pPr>
        <w:rPr>
          <w:sz w:val="24"/>
          <w:szCs w:val="24"/>
          <w:lang w:val="en-US"/>
        </w:rPr>
      </w:pPr>
      <w:r w:rsidRPr="00991A03">
        <w:rPr>
          <w:b/>
          <w:bCs/>
          <w:sz w:val="24"/>
          <w:szCs w:val="24"/>
          <w:lang w:val="en-US"/>
        </w:rPr>
        <w:t>Figure S1:</w:t>
      </w:r>
      <w:r>
        <w:rPr>
          <w:sz w:val="24"/>
          <w:szCs w:val="24"/>
          <w:lang w:val="en-US"/>
        </w:rPr>
        <w:t xml:space="preserve"> </w:t>
      </w:r>
      <w:r w:rsidR="003C362E">
        <w:rPr>
          <w:sz w:val="24"/>
          <w:szCs w:val="24"/>
          <w:lang w:val="en-US"/>
        </w:rPr>
        <w:t>Visualization of protein levels in the different lesions for proteins known to be involved in the Warburg effect.</w:t>
      </w:r>
    </w:p>
    <w:p w14:paraId="51621DC7" w14:textId="77777777" w:rsidR="00BD4E6E" w:rsidRDefault="00BD4E6E">
      <w:pPr>
        <w:rPr>
          <w:sz w:val="24"/>
          <w:szCs w:val="24"/>
          <w:lang w:val="en-US"/>
        </w:rPr>
      </w:pPr>
    </w:p>
    <w:p w14:paraId="6AC01C3E" w14:textId="77777777" w:rsidR="00CF3B39" w:rsidRPr="003136A6" w:rsidRDefault="00BD4E6E">
      <w:pPr>
        <w:rPr>
          <w:b/>
          <w:bCs/>
          <w:sz w:val="24"/>
          <w:szCs w:val="24"/>
          <w:lang w:val="en-US"/>
        </w:rPr>
      </w:pPr>
      <w:r w:rsidRPr="003136A6">
        <w:rPr>
          <w:b/>
          <w:bCs/>
          <w:sz w:val="24"/>
          <w:szCs w:val="24"/>
          <w:lang w:val="en-US"/>
        </w:rPr>
        <w:t>Supplementary Methods</w:t>
      </w:r>
      <w:r w:rsidR="00CF3B39" w:rsidRPr="003136A6">
        <w:rPr>
          <w:b/>
          <w:bCs/>
          <w:sz w:val="24"/>
          <w:szCs w:val="24"/>
          <w:lang w:val="en-US"/>
        </w:rPr>
        <w:t>:</w:t>
      </w:r>
    </w:p>
    <w:p w14:paraId="178BBF68" w14:textId="7E6799E3" w:rsidR="00991A03" w:rsidRDefault="00CF3B3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Mass spectrometry Imaging and data analysis</w:t>
      </w:r>
      <w:r w:rsidR="00991A03">
        <w:rPr>
          <w:sz w:val="24"/>
          <w:szCs w:val="24"/>
          <w:lang w:val="en-US"/>
        </w:rPr>
        <w:br w:type="page"/>
      </w:r>
    </w:p>
    <w:p w14:paraId="46265C66" w14:textId="77777777" w:rsidR="00134D5C" w:rsidRDefault="00AE5B24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6CD420B6" wp14:editId="13A2BB98">
            <wp:extent cx="6035675" cy="3420110"/>
            <wp:effectExtent l="0" t="0" r="3175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675" cy="3420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A7256F" w14:textId="1F4F5F6F" w:rsidR="00AE5B24" w:rsidRDefault="00134D5C" w:rsidP="003E07CA">
      <w:pPr>
        <w:rPr>
          <w:sz w:val="24"/>
          <w:szCs w:val="24"/>
          <w:lang w:val="en-US"/>
        </w:rPr>
      </w:pPr>
      <w:r w:rsidRPr="00727B88">
        <w:rPr>
          <w:b/>
          <w:bCs/>
          <w:sz w:val="24"/>
          <w:szCs w:val="24"/>
          <w:lang w:val="en-US"/>
        </w:rPr>
        <w:t xml:space="preserve">Figure S1: Mass Spectrometry Imaging </w:t>
      </w:r>
      <w:r w:rsidR="00CA491E" w:rsidRPr="00727B88">
        <w:rPr>
          <w:b/>
          <w:bCs/>
          <w:sz w:val="24"/>
          <w:szCs w:val="24"/>
          <w:lang w:val="en-US"/>
        </w:rPr>
        <w:t xml:space="preserve">of </w:t>
      </w:r>
      <w:r w:rsidRPr="00727B88">
        <w:rPr>
          <w:b/>
          <w:bCs/>
          <w:sz w:val="24"/>
          <w:szCs w:val="24"/>
          <w:lang w:val="en-US"/>
        </w:rPr>
        <w:t xml:space="preserve">different </w:t>
      </w:r>
      <w:r w:rsidR="00727B88" w:rsidRPr="00727B88">
        <w:rPr>
          <w:b/>
          <w:bCs/>
          <w:sz w:val="24"/>
          <w:szCs w:val="24"/>
          <w:lang w:val="en-US"/>
        </w:rPr>
        <w:t xml:space="preserve">preneoplastic </w:t>
      </w:r>
      <w:r w:rsidRPr="00727B88">
        <w:rPr>
          <w:b/>
          <w:bCs/>
          <w:sz w:val="24"/>
          <w:szCs w:val="24"/>
          <w:lang w:val="en-US"/>
        </w:rPr>
        <w:t>lesions</w:t>
      </w:r>
      <w:r w:rsidRPr="00134D5C">
        <w:rPr>
          <w:b/>
          <w:bCs/>
          <w:sz w:val="24"/>
          <w:szCs w:val="24"/>
          <w:lang w:val="en-US"/>
        </w:rPr>
        <w:t>.</w:t>
      </w:r>
      <w:r w:rsidR="00727B88">
        <w:rPr>
          <w:b/>
          <w:bCs/>
          <w:sz w:val="24"/>
          <w:szCs w:val="24"/>
          <w:lang w:val="en-US"/>
        </w:rPr>
        <w:t xml:space="preserve"> </w:t>
      </w:r>
      <w:r w:rsidR="003E07CA" w:rsidRPr="003E07CA">
        <w:rPr>
          <w:sz w:val="24"/>
          <w:szCs w:val="24"/>
          <w:lang w:val="en-US"/>
        </w:rPr>
        <w:t>A) Optical visualization of a tissue section showing a highlighted region with a STIC.</w:t>
      </w:r>
      <w:r w:rsidR="003E07CA">
        <w:rPr>
          <w:sz w:val="24"/>
          <w:szCs w:val="24"/>
          <w:lang w:val="en-US"/>
        </w:rPr>
        <w:t xml:space="preserve"> </w:t>
      </w:r>
      <w:r w:rsidR="003E07CA" w:rsidRPr="003E07CA">
        <w:rPr>
          <w:sz w:val="24"/>
          <w:szCs w:val="24"/>
          <w:lang w:val="en-US"/>
        </w:rPr>
        <w:t>B) Spatial segmentation was used to identify and visualize regions with different molecular signatures. The image shows the extracted ions with m/z 3019.194 and m/z 2636.76.</w:t>
      </w:r>
      <w:r w:rsidR="003E07CA">
        <w:rPr>
          <w:sz w:val="24"/>
          <w:szCs w:val="24"/>
          <w:lang w:val="en-US"/>
        </w:rPr>
        <w:t xml:space="preserve"> </w:t>
      </w:r>
      <w:r w:rsidR="003E07CA" w:rsidRPr="003E07CA">
        <w:rPr>
          <w:sz w:val="24"/>
          <w:szCs w:val="24"/>
          <w:lang w:val="en-US"/>
        </w:rPr>
        <w:t>C) Spatial segmentation comparison between normal tissue and a tissue section with a region presenting a p53 signature.</w:t>
      </w:r>
      <w:r w:rsidR="003E07CA">
        <w:rPr>
          <w:sz w:val="24"/>
          <w:szCs w:val="24"/>
          <w:lang w:val="en-US"/>
        </w:rPr>
        <w:t xml:space="preserve"> </w:t>
      </w:r>
      <w:r w:rsidR="003E07CA" w:rsidRPr="003E07CA">
        <w:rPr>
          <w:sz w:val="24"/>
          <w:szCs w:val="24"/>
          <w:lang w:val="en-US"/>
        </w:rPr>
        <w:t xml:space="preserve">D) </w:t>
      </w:r>
      <w:r w:rsidR="003E6E03">
        <w:rPr>
          <w:sz w:val="24"/>
          <w:szCs w:val="24"/>
          <w:lang w:val="en-US"/>
        </w:rPr>
        <w:t>Example of a</w:t>
      </w:r>
      <w:r w:rsidR="003E07CA" w:rsidRPr="003E07CA">
        <w:rPr>
          <w:sz w:val="24"/>
          <w:szCs w:val="24"/>
          <w:lang w:val="en-US"/>
        </w:rPr>
        <w:t xml:space="preserve"> </w:t>
      </w:r>
      <w:r w:rsidR="003E6E03">
        <w:rPr>
          <w:sz w:val="24"/>
          <w:szCs w:val="24"/>
          <w:lang w:val="en-US"/>
        </w:rPr>
        <w:t>lesion</w:t>
      </w:r>
      <w:r w:rsidR="003E07CA" w:rsidRPr="003E07CA">
        <w:rPr>
          <w:sz w:val="24"/>
          <w:szCs w:val="24"/>
          <w:lang w:val="en-US"/>
        </w:rPr>
        <w:t xml:space="preserve"> region subjected to trypsin digestion and liquid microextraction, with the resulting visualization.</w:t>
      </w:r>
      <w:r w:rsidR="00AE5B24">
        <w:rPr>
          <w:sz w:val="24"/>
          <w:szCs w:val="24"/>
          <w:lang w:val="en-US"/>
        </w:rPr>
        <w:br w:type="page"/>
      </w:r>
    </w:p>
    <w:p w14:paraId="5F348C80" w14:textId="491F4501" w:rsidR="001A30A1" w:rsidRDefault="00991A03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6D3564E2" wp14:editId="14E7A6A9">
            <wp:extent cx="5760000" cy="3196780"/>
            <wp:effectExtent l="0" t="0" r="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19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D8B72F" w14:textId="31EF709B" w:rsidR="00991A03" w:rsidRDefault="00991A03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val="en-US"/>
        </w:rPr>
        <w:drawing>
          <wp:inline distT="0" distB="0" distL="0" distR="0" wp14:anchorId="4655B9B5" wp14:editId="261C8AC1">
            <wp:extent cx="5760000" cy="3123877"/>
            <wp:effectExtent l="0" t="0" r="0" b="63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123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BFB4C9" w14:textId="26D334CA" w:rsidR="00991A03" w:rsidRDefault="00991A03" w:rsidP="008E33DC">
      <w:pPr>
        <w:jc w:val="both"/>
        <w:rPr>
          <w:sz w:val="24"/>
          <w:szCs w:val="24"/>
          <w:lang w:val="en-US"/>
        </w:rPr>
      </w:pPr>
      <w:bookmarkStart w:id="0" w:name="_Hlk131078913"/>
      <w:r>
        <w:rPr>
          <w:sz w:val="24"/>
          <w:szCs w:val="24"/>
          <w:lang w:val="en-US"/>
        </w:rPr>
        <w:t>Figure S</w:t>
      </w:r>
      <w:r w:rsidR="003136A6">
        <w:rPr>
          <w:sz w:val="24"/>
          <w:szCs w:val="24"/>
          <w:lang w:val="en-US"/>
        </w:rPr>
        <w:t>2</w:t>
      </w:r>
      <w:r>
        <w:rPr>
          <w:sz w:val="24"/>
          <w:szCs w:val="24"/>
          <w:lang w:val="en-US"/>
        </w:rPr>
        <w:t xml:space="preserve">: </w:t>
      </w:r>
      <w:r w:rsidR="003C362E" w:rsidRPr="003C362E">
        <w:rPr>
          <w:b/>
          <w:bCs/>
          <w:sz w:val="24"/>
          <w:szCs w:val="24"/>
          <w:lang w:val="en-US"/>
        </w:rPr>
        <w:t xml:space="preserve">Visualization </w:t>
      </w:r>
      <w:r w:rsidRPr="003C362E">
        <w:rPr>
          <w:b/>
          <w:bCs/>
          <w:sz w:val="24"/>
          <w:szCs w:val="24"/>
          <w:lang w:val="en-US"/>
        </w:rPr>
        <w:t>of protein level</w:t>
      </w:r>
      <w:r w:rsidR="003C362E" w:rsidRPr="003C362E">
        <w:rPr>
          <w:b/>
          <w:bCs/>
          <w:sz w:val="24"/>
          <w:szCs w:val="24"/>
          <w:lang w:val="en-US"/>
        </w:rPr>
        <w:t>s</w:t>
      </w:r>
      <w:r w:rsidRPr="003C362E">
        <w:rPr>
          <w:b/>
          <w:bCs/>
          <w:sz w:val="24"/>
          <w:szCs w:val="24"/>
          <w:lang w:val="en-US"/>
        </w:rPr>
        <w:t xml:space="preserve"> in the different lesions for proteins known to be involved in the Warburg effect.</w:t>
      </w:r>
      <w:bookmarkEnd w:id="0"/>
      <w:r>
        <w:rPr>
          <w:sz w:val="24"/>
          <w:szCs w:val="24"/>
          <w:lang w:val="en-US"/>
        </w:rPr>
        <w:t xml:space="preserve"> </w:t>
      </w:r>
      <w:r w:rsidR="003C362E">
        <w:rPr>
          <w:sz w:val="24"/>
          <w:szCs w:val="24"/>
          <w:lang w:val="en-US"/>
        </w:rPr>
        <w:t>Log(LFQ) values were used for the representation</w:t>
      </w:r>
      <w:r w:rsidR="008E33DC">
        <w:rPr>
          <w:sz w:val="24"/>
          <w:szCs w:val="24"/>
          <w:lang w:val="en-US"/>
        </w:rPr>
        <w:t xml:space="preserve"> of </w:t>
      </w:r>
      <w:r w:rsidR="008E33DC" w:rsidRPr="008E33DC">
        <w:rPr>
          <w:sz w:val="24"/>
          <w:szCs w:val="24"/>
          <w:lang w:val="en-US"/>
        </w:rPr>
        <w:t>Fructose-bisphosphate aldolase A</w:t>
      </w:r>
      <w:r w:rsidR="008E33DC">
        <w:rPr>
          <w:sz w:val="24"/>
          <w:szCs w:val="24"/>
          <w:lang w:val="en-US"/>
        </w:rPr>
        <w:t xml:space="preserve"> (ALDOA), </w:t>
      </w:r>
      <w:r w:rsidR="008E33DC" w:rsidRPr="008E33DC">
        <w:rPr>
          <w:sz w:val="24"/>
          <w:szCs w:val="24"/>
          <w:lang w:val="en-US"/>
        </w:rPr>
        <w:t>Triosephosphate isomerase</w:t>
      </w:r>
      <w:r w:rsidR="008E33DC">
        <w:rPr>
          <w:sz w:val="24"/>
          <w:szCs w:val="24"/>
          <w:lang w:val="en-US"/>
        </w:rPr>
        <w:t xml:space="preserve"> (TPI1), </w:t>
      </w:r>
      <w:r w:rsidR="008E33DC" w:rsidRPr="008E33DC">
        <w:rPr>
          <w:rFonts w:ascii="Calibri" w:eastAsia="Times New Roman" w:hAnsi="Calibri" w:cs="Calibri"/>
          <w:color w:val="000000"/>
          <w:lang w:val="en-US" w:eastAsia="fr-FR"/>
        </w:rPr>
        <w:t>Glyceraldehyde-3-phosphate dehydrogenase</w:t>
      </w:r>
      <w:r w:rsidR="008E33DC">
        <w:rPr>
          <w:rFonts w:ascii="Calibri" w:eastAsia="Times New Roman" w:hAnsi="Calibri" w:cs="Calibri"/>
          <w:color w:val="000000"/>
          <w:lang w:val="en-US" w:eastAsia="fr-FR"/>
        </w:rPr>
        <w:t xml:space="preserve"> (GAPDH), </w:t>
      </w:r>
      <w:r w:rsidR="008E33DC" w:rsidRPr="008E33DC">
        <w:rPr>
          <w:rFonts w:ascii="Calibri" w:eastAsia="Times New Roman" w:hAnsi="Calibri" w:cs="Calibri"/>
          <w:color w:val="000000"/>
          <w:lang w:val="en-US" w:eastAsia="fr-FR"/>
        </w:rPr>
        <w:t>Alpha-enolase</w:t>
      </w:r>
      <w:r w:rsidR="008E33DC">
        <w:rPr>
          <w:rFonts w:ascii="Calibri" w:eastAsia="Times New Roman" w:hAnsi="Calibri" w:cs="Calibri"/>
          <w:color w:val="000000"/>
          <w:lang w:val="en-US" w:eastAsia="fr-FR"/>
        </w:rPr>
        <w:t xml:space="preserve"> (ENO1), </w:t>
      </w:r>
      <w:r w:rsidR="008E33DC" w:rsidRPr="008E33DC">
        <w:rPr>
          <w:rFonts w:ascii="Calibri" w:eastAsia="Times New Roman" w:hAnsi="Calibri" w:cs="Calibri"/>
          <w:color w:val="000000"/>
          <w:lang w:val="en-US" w:eastAsia="fr-FR"/>
        </w:rPr>
        <w:t>Pyruvate kinase PKM</w:t>
      </w:r>
      <w:r w:rsidR="008E33DC">
        <w:rPr>
          <w:rFonts w:ascii="Calibri" w:eastAsia="Times New Roman" w:hAnsi="Calibri" w:cs="Calibri"/>
          <w:color w:val="000000"/>
          <w:lang w:val="en-US" w:eastAsia="fr-FR"/>
        </w:rPr>
        <w:t xml:space="preserve"> (PKM), </w:t>
      </w:r>
      <w:r w:rsidR="008E33DC" w:rsidRPr="008E33DC">
        <w:rPr>
          <w:rFonts w:ascii="Calibri" w:eastAsia="Times New Roman" w:hAnsi="Calibri" w:cs="Calibri"/>
          <w:color w:val="000000"/>
          <w:lang w:val="en-US" w:eastAsia="fr-FR"/>
        </w:rPr>
        <w:t>Hexokinase-1</w:t>
      </w:r>
      <w:r w:rsidR="008E33DC">
        <w:rPr>
          <w:rFonts w:ascii="Calibri" w:eastAsia="Times New Roman" w:hAnsi="Calibri" w:cs="Calibri"/>
          <w:color w:val="000000"/>
          <w:lang w:val="en-US" w:eastAsia="fr-FR"/>
        </w:rPr>
        <w:t xml:space="preserve"> (HK1), </w:t>
      </w:r>
      <w:r w:rsidR="008E33DC" w:rsidRPr="008E33DC">
        <w:rPr>
          <w:rFonts w:ascii="Calibri" w:eastAsia="Times New Roman" w:hAnsi="Calibri" w:cs="Calibri"/>
          <w:color w:val="000000"/>
          <w:lang w:val="en-US" w:eastAsia="fr-FR"/>
        </w:rPr>
        <w:t>Glucose-6-phosphate isomerase</w:t>
      </w:r>
      <w:r w:rsidR="008E33DC">
        <w:rPr>
          <w:rFonts w:ascii="Calibri" w:eastAsia="Times New Roman" w:hAnsi="Calibri" w:cs="Calibri"/>
          <w:color w:val="000000"/>
          <w:lang w:val="en-US" w:eastAsia="fr-FR"/>
        </w:rPr>
        <w:t xml:space="preserve"> (GPI) and </w:t>
      </w:r>
      <w:r w:rsidR="008E33DC" w:rsidRPr="008E33DC">
        <w:rPr>
          <w:rFonts w:ascii="Calibri" w:eastAsia="Times New Roman" w:hAnsi="Calibri" w:cs="Calibri"/>
          <w:color w:val="000000"/>
          <w:lang w:val="en-US" w:eastAsia="fr-FR"/>
        </w:rPr>
        <w:t>L-lactate dehydrogenase A chain</w:t>
      </w:r>
      <w:r w:rsidR="008E33DC">
        <w:rPr>
          <w:rFonts w:ascii="Calibri" w:eastAsia="Times New Roman" w:hAnsi="Calibri" w:cs="Calibri"/>
          <w:color w:val="000000"/>
          <w:lang w:val="en-US" w:eastAsia="fr-FR"/>
        </w:rPr>
        <w:t xml:space="preserve"> (LDHA). A</w:t>
      </w:r>
      <w:r w:rsidR="003C362E">
        <w:rPr>
          <w:sz w:val="24"/>
          <w:szCs w:val="24"/>
          <w:lang w:val="en-US"/>
        </w:rPr>
        <w:t xml:space="preserve"> t-test is used to compare the value between normal tissue and each lesion. P-value is represented by stars </w:t>
      </w:r>
      <w:r w:rsidR="002B4A45">
        <w:rPr>
          <w:sz w:val="24"/>
          <w:szCs w:val="24"/>
          <w:lang w:val="en-US"/>
        </w:rPr>
        <w:t>(*</w:t>
      </w:r>
      <w:r w:rsidR="003C362E">
        <w:rPr>
          <w:sz w:val="24"/>
          <w:szCs w:val="24"/>
          <w:lang w:val="en-US"/>
        </w:rPr>
        <w:t>** p &lt; 0.001, ** p &lt; 0.01 , * p &lt; 0.05 no star for p &gt; 0.05)</w:t>
      </w:r>
      <w:r w:rsidR="008E33DC">
        <w:rPr>
          <w:sz w:val="24"/>
          <w:szCs w:val="24"/>
          <w:lang w:val="en-US"/>
        </w:rPr>
        <w:t>.</w:t>
      </w:r>
    </w:p>
    <w:p w14:paraId="15A5927A" w14:textId="0BF10EDE" w:rsidR="003136A6" w:rsidRDefault="003136A6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p w14:paraId="73ACB8DA" w14:textId="5626F145" w:rsidR="00ED5008" w:rsidRPr="00825D8F" w:rsidRDefault="003136A6" w:rsidP="00825D8F">
      <w:pPr>
        <w:spacing w:after="20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825D8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lastRenderedPageBreak/>
        <w:t>Supplem</w:t>
      </w:r>
      <w:r w:rsidR="003F684F" w:rsidRPr="00825D8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entary </w:t>
      </w:r>
      <w:r w:rsidR="00825D8F" w:rsidRPr="00825D8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Methods:</w:t>
      </w:r>
      <w:r w:rsidR="003F684F" w:rsidRPr="00825D8F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</w:p>
    <w:p w14:paraId="0936F1F9" w14:textId="3AFF6AB0" w:rsidR="003F684F" w:rsidRPr="00825D8F" w:rsidRDefault="003F684F" w:rsidP="00825D8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r w:rsidRPr="00825D8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MALDI mass spectrometry imaging (MALDI MSI)</w:t>
      </w:r>
    </w:p>
    <w:p w14:paraId="1BED8A31" w14:textId="2C373157" w:rsidR="003F684F" w:rsidRPr="00825D8F" w:rsidRDefault="00404B27" w:rsidP="00825D8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In this study, 7 µm-thick FFPE tissue sections were used for MALDI MSI analysis, following previously established protocols (Fournier et al., 2003; Lemaire et al., 2007; Lemaire et al., 2006a; Lemaire et al., 2006b; Wisztorski et al., 2007). To ensure optimal trypsin digestion, a trypsin solution (60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μg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/mL in NH4HCO3 50 mM) was uniformly sprayed onto the tissue surface for 15 minutes using an electrospray nebulizer connected to a syringe pump (flow rate 180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nL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/min). The incubation chamber, ImagePrep (Bruker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Daltonics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, Bremen, Germany), was used to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microspray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water heated to 37°C for 2 hours with a constant humidity atmosphere maintained by filling a small container with 95°C water. After digestion, a solid ionic matrix, HCCA/ANI (Lemaire et al., 2006), was deposited using ImagePrep, where 36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μL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of aniline were added to 5 mL of a solution of 10 mg/mL HCCA dissolved in ACN/0.1% TFA aqueous (7:3, v/v). A uniform layer of matrix was achieved by monitoring scattered light in real-time. MALDI MSI experiments were performed on an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Ultraflex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II MALDI-TOF/TOF instrument (Bruker) with a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smartbeam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II solid state laser, acquiring mass spectra in positive reflector mode between 800-4000 m/z range. Spectra were recorded by averaging 400 laser shots per pixel, with a 70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μm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spatial resolution raster and a laser repletion rate of 200Hz.</w:t>
      </w:r>
    </w:p>
    <w:p w14:paraId="02DB3E24" w14:textId="77777777" w:rsidR="003F684F" w:rsidRPr="00825D8F" w:rsidRDefault="003F684F" w:rsidP="00825D8F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</w:pPr>
      <w:r w:rsidRPr="00825D8F">
        <w:rPr>
          <w:rFonts w:ascii="Times New Roman" w:eastAsia="Times New Roman" w:hAnsi="Times New Roman" w:cs="Times New Roman"/>
          <w:b/>
          <w:sz w:val="24"/>
          <w:szCs w:val="24"/>
          <w:lang w:val="en-US" w:eastAsia="fr-FR"/>
        </w:rPr>
        <w:t>MALDI MSI data processing and analysis</w:t>
      </w:r>
    </w:p>
    <w:p w14:paraId="418EDDE6" w14:textId="23A80674" w:rsidR="00ED5008" w:rsidRPr="00825D8F" w:rsidRDefault="00ED5008" w:rsidP="00825D8F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The MALDI-MSI data were analyzed using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SCiLS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Lab software (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SCiLS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Lab 2019, </w:t>
      </w:r>
      <w:proofErr w:type="spellStart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SCiLS</w:t>
      </w:r>
      <w:proofErr w:type="spellEnd"/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GmbH) in accordance with standard processing methods for MALDI MSI. First, a convolution method was used to remove the baseline and then the data were normalized using the Total Ion Count (TIC) method (Klein et al., 2014; Trede et al., 2012). Next, the bisecting k-means algorithm (Alexandrov et al., 2010) was employed to cluster the pre-processed data, resulting in a spatial segmentation.</w:t>
      </w:r>
    </w:p>
    <w:p w14:paraId="39D40522" w14:textId="20E38FAE" w:rsidR="003136A6" w:rsidRPr="00825D8F" w:rsidRDefault="00ED5008" w:rsidP="00825D8F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 w:rsidRPr="00825D8F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To minimize pixel-to-pixel variability, the clusters were subjected to edge-preserving image denoising and arbitrarily assigned a color. It should be noted that multiple disconnected regions may have the same color, indicating similar molecular content. The resulting spatial segmentation maps were displayed as a dendrogram generated through hierarchical clustering, with the dendrogram branches determined by a distance calculation between each cluster. Selection of different dendrogram branches enabled the differentiation and color-coding of distinct molecular composition regions.</w:t>
      </w:r>
    </w:p>
    <w:p w14:paraId="733B22E9" w14:textId="77777777" w:rsidR="006147A8" w:rsidRPr="00825D8F" w:rsidRDefault="006147A8" w:rsidP="00825D8F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14:paraId="2D8CAD12" w14:textId="77777777" w:rsidR="00DC586E" w:rsidRPr="00825D8F" w:rsidRDefault="00DC586E" w:rsidP="00825D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D8F">
        <w:rPr>
          <w:rFonts w:ascii="Times New Roman" w:hAnsi="Times New Roman" w:cs="Times New Roman"/>
          <w:b/>
          <w:sz w:val="24"/>
          <w:szCs w:val="24"/>
        </w:rPr>
        <w:t>NanoLC-ESI-MS²</w:t>
      </w:r>
      <w:r w:rsidRPr="00825D8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23C8DB" w14:textId="1956AF38" w:rsidR="00DC586E" w:rsidRPr="00532780" w:rsidRDefault="00DC586E" w:rsidP="00825D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After the liquid extraction, samples were freeze-dried in a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SpeedVac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concentrator (SPD131DPA,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Thermo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Scientific, Waltham, Massachusetts, USA), reconstituted with 10µL 0.1% TFA and subjected to solid-phase extraction to remove salts and concentrate the peptides. This was done using a C-18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Ziptip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(Millipore, Saint-Quentin-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en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-Yvelines, France), eluted by an ACN/0.1% TFA (8:2, v/v) and then the samples were dried for storage. Before analysis, samples were suspended in 20µL ACN/0.1% FA (2:98, v/v), deposited in vials, and 10µLs were injected for analysis. The separation, prior to MS, used online reversed-phase chromatography </w:t>
      </w:r>
      <w:r w:rsidRPr="00532780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realized with a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Proxeon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Easy-nLC-1000 system (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Thermo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Scientific) equipped with an Acclaim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PepMap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trap column (75 </w:t>
      </w:r>
      <w:r w:rsidRPr="00825D8F">
        <w:rPr>
          <w:rFonts w:ascii="Times New Roman" w:hAnsi="Times New Roman" w:cs="Times New Roman"/>
          <w:sz w:val="24"/>
          <w:szCs w:val="24"/>
        </w:rPr>
        <w:t>μ</w:t>
      </w: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m ID x 2 cm,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Thermo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Scientific) and C18 packed tip Acclaim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PepMap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RSLC column (75 </w:t>
      </w:r>
      <w:r w:rsidRPr="00825D8F">
        <w:rPr>
          <w:rFonts w:ascii="Times New Roman" w:hAnsi="Times New Roman" w:cs="Times New Roman"/>
          <w:sz w:val="24"/>
          <w:szCs w:val="24"/>
        </w:rPr>
        <w:t>μ</w:t>
      </w: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m ID x 50 cm,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Thermo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Scientific). Peptides were separated using an increasing amount of acetonitrile (5%-40% over 140 minutes) with a flow rate of 300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nL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/min. The LC eluent was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electrosprayed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directly from the analytical column and a voltage of 2 kV was applied via the liquid junction of the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nanospray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source. </w:t>
      </w:r>
    </w:p>
    <w:p w14:paraId="156C2684" w14:textId="4C5C5E09" w:rsidR="006147A8" w:rsidRPr="00532780" w:rsidRDefault="00DC586E" w:rsidP="00825D8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The chromatography system was coupled to a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Thermo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Scientific Q-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Exactive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mass spectrometer. The mass spectrometer was programmed to acquire in a data-dependent mode for the 10 most intense peaks. The survey scans were acquired in the Orbitrap mass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analyzer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operated at 70,000 (FWHM) resolving power. A mass range of 200 to 2000 m/z and a target of 3E6 ions were used for the survey scans. The MSMS analysis was performed using HCD with a normalized collision energy of 30 eV, a mass range between 200 to 2000, an AGC of 5e4 ions, a maximum injection time of 60ms and a resolution set at 17,500 FWHM. The method was set to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analyze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the top 10 most intense ions from the survey scan and dynamic exclusion was enabled for 20 s.</w:t>
      </w:r>
    </w:p>
    <w:p w14:paraId="7EF9E01E" w14:textId="77777777" w:rsidR="001D4090" w:rsidRPr="00825D8F" w:rsidRDefault="001D4090" w:rsidP="00825D8F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14:paraId="576EE7D4" w14:textId="16D9B73C" w:rsidR="001D4090" w:rsidRPr="00825D8F" w:rsidRDefault="001D4090" w:rsidP="00825D8F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</w:pPr>
      <w:r w:rsidRPr="00825D8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r-FR"/>
        </w:rPr>
        <w:t xml:space="preserve">Spidermass Technology : </w:t>
      </w:r>
    </w:p>
    <w:p w14:paraId="270FC97A" w14:textId="77777777" w:rsidR="001D4090" w:rsidRPr="00532780" w:rsidRDefault="001D4090" w:rsidP="00825D8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The global design of the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SpiderMass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instrument setup has been described in detail elsewhere</w:t>
      </w:r>
      <w:r w:rsidRPr="005327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49</w:t>
      </w: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. Briefly, the system is composed of three parts including a laser system for micro-sampling of tissues which is set remotely, a transfer line allowing for transfer of the micro-sampled material to the third part, which is the mass spectrometer itself </w:t>
      </w:r>
      <w:r w:rsidRPr="005327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50</w:t>
      </w: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. The first part is composed of a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tunable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wavelength OPO which is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tunable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from 2.8 µm to 3.1 µm (Radiant version 1.0.1, OPOTEK Inc., Carlsbad, CA, USA) pumped by a pulsed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Nd:YAG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laser (pulse duration: 5 ns, </w:t>
      </w:r>
      <w:r w:rsidRPr="00825D8F">
        <w:rPr>
          <w:rFonts w:ascii="Times New Roman" w:hAnsi="Times New Roman" w:cs="Times New Roman"/>
          <w:sz w:val="24"/>
          <w:szCs w:val="24"/>
        </w:rPr>
        <w:t>λ</w:t>
      </w: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=1064 nm, Quantel, Les Ulis, France). A biocompatible laser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fiber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(450 µm inner diameter; length of 1 m; Infrared Fiber Systems, Silver Spring, CO, USA) is connected to the laser system output and a handpiece including a 4 cm focusing lens is attached to the end of the laser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fiber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. The handpiece with a 4 cm focusing lens allows the user to hold the system and screen the surface of raw tissues at a resolution of 400 µm. In these experiments the irradiation time was fixed to 10 sec at 4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mJ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>/pulse laser energy corresponding to a laser fluence of ~3 J/cm2. The laser energy was measured at the focal point of the focusing lens using a power meter (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ThorLabs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Maisons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-Laffitte, France). The second part of the system corresponds to a 3-meter length transfer line made from a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Tygon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ND 100-65 tubing (2.4 mm inner diameter, 4 mm outer diameter, Akron, USA). The transfer line is attached on one side onto the laser hand piece at the end of the laser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fiber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and on its other side directly connected to the mass spectrometer (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Xevo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>, Waters, Manchester, United Kingdom) from which the conventional electrospray source was removed and replaced by an atmospheric pressure interface</w:t>
      </w:r>
      <w:r w:rsidRPr="00532780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50</w:t>
      </w:r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. Spectral acquisition was performed in positive ion resolution mode with a scan time of 1 sec. Prior to </w:t>
      </w:r>
      <w:proofErr w:type="spellStart"/>
      <w:r w:rsidRPr="00532780">
        <w:rPr>
          <w:rFonts w:ascii="Times New Roman" w:hAnsi="Times New Roman" w:cs="Times New Roman"/>
          <w:sz w:val="24"/>
          <w:szCs w:val="24"/>
          <w:lang w:val="en-GB"/>
        </w:rPr>
        <w:t>SpiderMass</w:t>
      </w:r>
      <w:proofErr w:type="spellEnd"/>
      <w:r w:rsidRPr="00532780">
        <w:rPr>
          <w:rFonts w:ascii="Times New Roman" w:hAnsi="Times New Roman" w:cs="Times New Roman"/>
          <w:sz w:val="24"/>
          <w:szCs w:val="24"/>
          <w:lang w:val="en-GB"/>
        </w:rPr>
        <w:t xml:space="preserve"> analysis, the samples were taken out of the -20°C freezer and thawed to RT for 30 s. The spectral acquisition sequence was composed of 2 or 3 acquisitions using 1-sec irradiation periods. The ROI were selected using the double IHC against p53 and Ki67. </w:t>
      </w:r>
    </w:p>
    <w:p w14:paraId="601F2D0A" w14:textId="77777777" w:rsidR="001D4090" w:rsidRPr="008051EA" w:rsidRDefault="001D4090" w:rsidP="00ED5008">
      <w:pPr>
        <w:jc w:val="both"/>
        <w:rPr>
          <w:sz w:val="24"/>
          <w:szCs w:val="24"/>
          <w:lang w:val="en-US"/>
        </w:rPr>
      </w:pPr>
    </w:p>
    <w:sectPr w:rsidR="001D4090" w:rsidRPr="00805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1EA"/>
    <w:rsid w:val="00054B0A"/>
    <w:rsid w:val="000C3924"/>
    <w:rsid w:val="000F6478"/>
    <w:rsid w:val="000F771F"/>
    <w:rsid w:val="00134D5C"/>
    <w:rsid w:val="001A30A1"/>
    <w:rsid w:val="001C32D0"/>
    <w:rsid w:val="001D4090"/>
    <w:rsid w:val="00294905"/>
    <w:rsid w:val="002B4A45"/>
    <w:rsid w:val="003136A6"/>
    <w:rsid w:val="00354F9E"/>
    <w:rsid w:val="003C362E"/>
    <w:rsid w:val="003D4F3C"/>
    <w:rsid w:val="003E07CA"/>
    <w:rsid w:val="003E6E03"/>
    <w:rsid w:val="003F33E7"/>
    <w:rsid w:val="003F684F"/>
    <w:rsid w:val="00404B27"/>
    <w:rsid w:val="004E0A4A"/>
    <w:rsid w:val="00532780"/>
    <w:rsid w:val="005F28B2"/>
    <w:rsid w:val="006147A8"/>
    <w:rsid w:val="0070792D"/>
    <w:rsid w:val="00727B88"/>
    <w:rsid w:val="008051EA"/>
    <w:rsid w:val="00825D8F"/>
    <w:rsid w:val="008E33DC"/>
    <w:rsid w:val="00972749"/>
    <w:rsid w:val="00991A03"/>
    <w:rsid w:val="00A92E56"/>
    <w:rsid w:val="00AE5B24"/>
    <w:rsid w:val="00BD4E6E"/>
    <w:rsid w:val="00CA491E"/>
    <w:rsid w:val="00CA5B82"/>
    <w:rsid w:val="00CF0F16"/>
    <w:rsid w:val="00CF3B39"/>
    <w:rsid w:val="00D03FEC"/>
    <w:rsid w:val="00DB2F3F"/>
    <w:rsid w:val="00DC586E"/>
    <w:rsid w:val="00E86E16"/>
    <w:rsid w:val="00ED5008"/>
    <w:rsid w:val="00F8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14DE8"/>
  <w15:chartTrackingRefBased/>
  <w15:docId w15:val="{7BE73F76-1DC9-43A7-B435-5D27CCB3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E3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3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1545</Words>
  <Characters>8500</Characters>
  <Application>Microsoft Office Word</Application>
  <DocSecurity>0</DocSecurity>
  <Lines>70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Maxence Wisztorski</dc:creator>
  <cp:keywords/>
  <dc:description/>
  <cp:lastModifiedBy>Maxence Wisztorski</cp:lastModifiedBy>
  <cp:revision>7</cp:revision>
  <dcterms:created xsi:type="dcterms:W3CDTF">2023-03-30T12:58:00Z</dcterms:created>
  <dcterms:modified xsi:type="dcterms:W3CDTF">2023-09-08T07:36:00Z</dcterms:modified>
</cp:coreProperties>
</file>