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4B8BC8" w14:textId="395CBC85" w:rsidR="00D85865" w:rsidRPr="00D66A32" w:rsidRDefault="00D85865" w:rsidP="00D85865">
      <w:pPr>
        <w:spacing w:line="360" w:lineRule="auto"/>
        <w:rPr>
          <w:rFonts w:ascii="Arial" w:hAnsi="Arial" w:cs="Arial"/>
          <w:szCs w:val="21"/>
        </w:rPr>
      </w:pPr>
      <w:r w:rsidRPr="00D66A32">
        <w:rPr>
          <w:rFonts w:ascii="Arial" w:hAnsi="Arial" w:cs="Arial"/>
          <w:b/>
          <w:bCs/>
          <w:szCs w:val="21"/>
        </w:rPr>
        <w:t>Fig. S1 The synthesis scheme of HR488B.</w:t>
      </w:r>
      <w:r w:rsidR="00607329" w:rsidRPr="00D66A32">
        <w:rPr>
          <w:rFonts w:ascii="Arial" w:hAnsi="Arial" w:cs="Arial"/>
          <w:b/>
          <w:bCs/>
          <w:szCs w:val="21"/>
        </w:rPr>
        <w:t xml:space="preserve"> </w:t>
      </w:r>
      <w:proofErr w:type="spellStart"/>
      <w:proofErr w:type="gramStart"/>
      <w:r w:rsidR="00607329" w:rsidRPr="00D66A32">
        <w:rPr>
          <w:rFonts w:ascii="Arial" w:hAnsi="Arial" w:cs="Arial"/>
          <w:b/>
          <w:bCs/>
          <w:szCs w:val="21"/>
        </w:rPr>
        <w:t>a</w:t>
      </w:r>
      <w:proofErr w:type="spellEnd"/>
      <w:proofErr w:type="gramEnd"/>
      <w:r w:rsidRPr="00D66A32">
        <w:rPr>
          <w:rFonts w:ascii="Arial" w:hAnsi="Arial" w:cs="Arial"/>
          <w:b/>
          <w:szCs w:val="21"/>
        </w:rPr>
        <w:t xml:space="preserve"> </w:t>
      </w:r>
      <w:r w:rsidRPr="00D66A32">
        <w:rPr>
          <w:rFonts w:ascii="Arial" w:hAnsi="Arial" w:cs="Arial"/>
          <w:szCs w:val="21"/>
        </w:rPr>
        <w:t xml:space="preserve">Intermediate compound </w:t>
      </w:r>
      <w:r w:rsidRPr="00D66A32">
        <w:rPr>
          <w:rFonts w:ascii="Arial" w:hAnsi="Arial" w:cs="Arial"/>
          <w:b/>
          <w:bCs/>
          <w:szCs w:val="21"/>
        </w:rPr>
        <w:t>2</w:t>
      </w:r>
      <w:r w:rsidRPr="00D66A32">
        <w:rPr>
          <w:rFonts w:ascii="Arial" w:hAnsi="Arial" w:cs="Arial"/>
          <w:szCs w:val="21"/>
        </w:rPr>
        <w:t xml:space="preserve"> was constructed from p-</w:t>
      </w:r>
      <w:proofErr w:type="spellStart"/>
      <w:r w:rsidRPr="00D66A32">
        <w:rPr>
          <w:rFonts w:ascii="Arial" w:hAnsi="Arial" w:cs="Arial"/>
          <w:szCs w:val="21"/>
        </w:rPr>
        <w:t>methoxyaniline</w:t>
      </w:r>
      <w:proofErr w:type="spellEnd"/>
      <w:r w:rsidRPr="00D66A32">
        <w:rPr>
          <w:rFonts w:ascii="Arial" w:hAnsi="Arial" w:cs="Arial"/>
          <w:szCs w:val="21"/>
        </w:rPr>
        <w:t xml:space="preserve"> and </w:t>
      </w:r>
      <w:proofErr w:type="spellStart"/>
      <w:r w:rsidRPr="00D66A32">
        <w:rPr>
          <w:rFonts w:ascii="Arial" w:hAnsi="Arial" w:cs="Arial"/>
          <w:szCs w:val="21"/>
        </w:rPr>
        <w:t>bromoacetonitrile</w:t>
      </w:r>
      <w:proofErr w:type="spellEnd"/>
      <w:r w:rsidRPr="00D66A32">
        <w:rPr>
          <w:rFonts w:ascii="Arial" w:hAnsi="Arial" w:cs="Arial"/>
          <w:szCs w:val="21"/>
        </w:rPr>
        <w:t xml:space="preserve">, which was coupled with </w:t>
      </w:r>
      <w:proofErr w:type="spellStart"/>
      <w:r w:rsidRPr="00D66A32">
        <w:rPr>
          <w:rFonts w:ascii="Arial" w:hAnsi="Arial" w:cs="Arial"/>
          <w:szCs w:val="21"/>
        </w:rPr>
        <w:t>heptanedioic</w:t>
      </w:r>
      <w:proofErr w:type="spellEnd"/>
      <w:r w:rsidRPr="00D66A32">
        <w:rPr>
          <w:rFonts w:ascii="Arial" w:hAnsi="Arial" w:cs="Arial"/>
          <w:szCs w:val="21"/>
        </w:rPr>
        <w:t xml:space="preserve"> anhydride to yield acid </w:t>
      </w:r>
      <w:r w:rsidRPr="00D66A32">
        <w:rPr>
          <w:rFonts w:ascii="Arial" w:hAnsi="Arial" w:cs="Arial"/>
          <w:b/>
          <w:bCs/>
          <w:szCs w:val="21"/>
        </w:rPr>
        <w:t>4</w:t>
      </w:r>
      <w:r w:rsidRPr="00D66A32">
        <w:rPr>
          <w:rFonts w:ascii="Arial" w:hAnsi="Arial" w:cs="Arial"/>
          <w:szCs w:val="21"/>
        </w:rPr>
        <w:t xml:space="preserve"> Then corresponding ester </w:t>
      </w:r>
      <w:r w:rsidRPr="00D66A32">
        <w:rPr>
          <w:rFonts w:ascii="Arial" w:hAnsi="Arial" w:cs="Arial"/>
          <w:b/>
          <w:bCs/>
          <w:szCs w:val="21"/>
        </w:rPr>
        <w:t xml:space="preserve">5 </w:t>
      </w:r>
      <w:r w:rsidRPr="00D66A32">
        <w:rPr>
          <w:rFonts w:ascii="Arial" w:hAnsi="Arial" w:cs="Arial"/>
          <w:szCs w:val="21"/>
        </w:rPr>
        <w:t>was prepared by esterification of those acids. Subsequently, it was reacted with ammonium sulfide and triethylamine by heating to produce intermediate (</w:t>
      </w:r>
      <w:r w:rsidRPr="00D66A32">
        <w:rPr>
          <w:rFonts w:ascii="Arial" w:hAnsi="Arial" w:cs="Arial"/>
          <w:b/>
          <w:bCs/>
          <w:szCs w:val="21"/>
        </w:rPr>
        <w:t>6</w:t>
      </w:r>
      <w:r w:rsidRPr="00D66A32">
        <w:rPr>
          <w:rFonts w:ascii="Arial" w:hAnsi="Arial" w:cs="Arial"/>
          <w:szCs w:val="21"/>
        </w:rPr>
        <w:t xml:space="preserve">), and then cyclized with 2,2'-dichloroacetophenone to form intermediate </w:t>
      </w:r>
      <w:r w:rsidRPr="00D66A32">
        <w:rPr>
          <w:rFonts w:ascii="Arial" w:hAnsi="Arial" w:cs="Arial"/>
          <w:b/>
          <w:bCs/>
          <w:szCs w:val="21"/>
        </w:rPr>
        <w:t>(8)</w:t>
      </w:r>
      <w:r w:rsidRPr="00D66A32">
        <w:rPr>
          <w:rFonts w:ascii="Arial" w:hAnsi="Arial" w:cs="Arial"/>
          <w:szCs w:val="21"/>
        </w:rPr>
        <w:t xml:space="preserve">. Finally, treatment of methyl ester with hydroxylamine to afford the target compound HR488B. </w:t>
      </w:r>
      <w:r w:rsidRPr="00D66A32">
        <w:rPr>
          <w:rFonts w:ascii="Arial" w:hAnsi="Arial" w:cs="Arial"/>
          <w:b/>
          <w:szCs w:val="21"/>
        </w:rPr>
        <w:t>b</w:t>
      </w:r>
      <w:r w:rsidRPr="00D66A32">
        <w:rPr>
          <w:rFonts w:ascii="Arial" w:hAnsi="Arial" w:cs="Arial"/>
          <w:szCs w:val="21"/>
        </w:rPr>
        <w:t xml:space="preserve"> HPLC purity: 99%. </w:t>
      </w:r>
      <w:r w:rsidRPr="00D66A32">
        <w:rPr>
          <w:rFonts w:ascii="Arial" w:hAnsi="Arial" w:cs="Arial"/>
          <w:b/>
          <w:bCs/>
          <w:szCs w:val="21"/>
        </w:rPr>
        <w:t>c</w:t>
      </w:r>
      <w:r w:rsidRPr="00D66A32">
        <w:rPr>
          <w:rFonts w:ascii="Arial" w:hAnsi="Arial" w:cs="Arial"/>
          <w:szCs w:val="21"/>
        </w:rPr>
        <w:t xml:space="preserve"> </w:t>
      </w:r>
      <w:proofErr w:type="gramStart"/>
      <w:r w:rsidRPr="00D66A32">
        <w:rPr>
          <w:rFonts w:ascii="Arial" w:hAnsi="Arial" w:cs="Arial"/>
          <w:szCs w:val="21"/>
        </w:rPr>
        <w:t>The</w:t>
      </w:r>
      <w:proofErr w:type="gramEnd"/>
      <w:r w:rsidRPr="00D66A32">
        <w:rPr>
          <w:rFonts w:ascii="Arial" w:hAnsi="Arial" w:cs="Arial"/>
          <w:szCs w:val="21"/>
        </w:rPr>
        <w:t xml:space="preserve"> high-resolution mass spectrum (HRMS) of HR488B. HRMS (ESI): </w:t>
      </w:r>
      <w:proofErr w:type="spellStart"/>
      <w:r w:rsidRPr="00D66A32">
        <w:rPr>
          <w:rFonts w:ascii="Arial" w:hAnsi="Arial" w:cs="Arial"/>
          <w:szCs w:val="21"/>
        </w:rPr>
        <w:t>calcd</w:t>
      </w:r>
      <w:proofErr w:type="spellEnd"/>
      <w:r w:rsidRPr="00D66A32">
        <w:rPr>
          <w:rFonts w:ascii="Arial" w:hAnsi="Arial" w:cs="Arial"/>
          <w:szCs w:val="21"/>
        </w:rPr>
        <w:t xml:space="preserve"> for [</w:t>
      </w:r>
      <w:r w:rsidRPr="00D66A32">
        <w:rPr>
          <w:rFonts w:ascii="Arial" w:hAnsi="Arial" w:cs="Arial"/>
          <w:szCs w:val="21"/>
          <w:lang w:bidi="ar"/>
        </w:rPr>
        <w:t>C</w:t>
      </w:r>
      <w:r w:rsidRPr="00D66A32">
        <w:rPr>
          <w:rFonts w:ascii="Arial" w:hAnsi="Arial" w:cs="Arial"/>
          <w:szCs w:val="21"/>
          <w:vertAlign w:val="subscript"/>
          <w:lang w:bidi="ar"/>
        </w:rPr>
        <w:t>24</w:t>
      </w:r>
      <w:r w:rsidRPr="00D66A32">
        <w:rPr>
          <w:rFonts w:ascii="Arial" w:hAnsi="Arial" w:cs="Arial"/>
          <w:szCs w:val="21"/>
          <w:lang w:bidi="ar"/>
        </w:rPr>
        <w:t>H</w:t>
      </w:r>
      <w:r w:rsidRPr="00D66A32">
        <w:rPr>
          <w:rFonts w:ascii="Arial" w:hAnsi="Arial" w:cs="Arial"/>
          <w:szCs w:val="21"/>
          <w:vertAlign w:val="subscript"/>
          <w:lang w:bidi="ar"/>
        </w:rPr>
        <w:t>26</w:t>
      </w:r>
      <w:r w:rsidRPr="00D66A32">
        <w:rPr>
          <w:rFonts w:ascii="Arial" w:hAnsi="Arial" w:cs="Arial"/>
          <w:szCs w:val="21"/>
          <w:lang w:bidi="ar"/>
        </w:rPr>
        <w:t>ClN</w:t>
      </w:r>
      <w:r w:rsidRPr="00D66A32">
        <w:rPr>
          <w:rFonts w:ascii="Arial" w:hAnsi="Arial" w:cs="Arial"/>
          <w:szCs w:val="21"/>
          <w:vertAlign w:val="subscript"/>
          <w:lang w:bidi="ar"/>
        </w:rPr>
        <w:t>3</w:t>
      </w:r>
      <w:r w:rsidRPr="00D66A32">
        <w:rPr>
          <w:rFonts w:ascii="Arial" w:hAnsi="Arial" w:cs="Arial"/>
          <w:szCs w:val="21"/>
          <w:lang w:bidi="ar"/>
        </w:rPr>
        <w:t>O</w:t>
      </w:r>
      <w:r w:rsidRPr="00D66A32">
        <w:rPr>
          <w:rFonts w:ascii="Arial" w:hAnsi="Arial" w:cs="Arial"/>
          <w:szCs w:val="21"/>
          <w:vertAlign w:val="subscript"/>
          <w:lang w:bidi="ar"/>
        </w:rPr>
        <w:t>4</w:t>
      </w:r>
      <w:r w:rsidRPr="00D66A32">
        <w:rPr>
          <w:rFonts w:ascii="Arial" w:hAnsi="Arial" w:cs="Arial"/>
          <w:szCs w:val="21"/>
          <w:lang w:bidi="ar"/>
        </w:rPr>
        <w:t>S+H</w:t>
      </w:r>
      <w:r w:rsidRPr="00D66A32">
        <w:rPr>
          <w:rFonts w:ascii="Arial" w:hAnsi="Arial" w:cs="Arial"/>
          <w:szCs w:val="21"/>
        </w:rPr>
        <w:t>]</w:t>
      </w:r>
      <w:r w:rsidRPr="00D66A32">
        <w:rPr>
          <w:rFonts w:ascii="Arial" w:hAnsi="Arial" w:cs="Arial"/>
          <w:szCs w:val="21"/>
          <w:vertAlign w:val="superscript"/>
        </w:rPr>
        <w:t xml:space="preserve"> +</w:t>
      </w:r>
      <w:r w:rsidRPr="00D66A32">
        <w:rPr>
          <w:rFonts w:ascii="Arial" w:hAnsi="Arial" w:cs="Arial"/>
          <w:szCs w:val="21"/>
          <w:lang w:bidi="ar"/>
        </w:rPr>
        <w:t xml:space="preserve"> 487.1411, found 488.1402. </w:t>
      </w:r>
      <w:r w:rsidRPr="00D66A32">
        <w:rPr>
          <w:rFonts w:ascii="Arial" w:hAnsi="Arial" w:cs="Arial"/>
          <w:szCs w:val="21"/>
        </w:rPr>
        <w:t xml:space="preserve">HRMS was gathered on a Bruker </w:t>
      </w:r>
      <w:proofErr w:type="spellStart"/>
      <w:r w:rsidRPr="00D66A32">
        <w:rPr>
          <w:rFonts w:ascii="Arial" w:hAnsi="Arial" w:cs="Arial"/>
          <w:szCs w:val="21"/>
        </w:rPr>
        <w:t>MicroTOF</w:t>
      </w:r>
      <w:proofErr w:type="spellEnd"/>
      <w:r w:rsidRPr="00D66A32">
        <w:rPr>
          <w:rFonts w:ascii="Arial" w:hAnsi="Arial" w:cs="Arial"/>
          <w:szCs w:val="21"/>
        </w:rPr>
        <w:t>-Q II LCMS instrument operating in electrospray ionization (ESI).</w:t>
      </w:r>
    </w:p>
    <w:p w14:paraId="513E3506" w14:textId="4A9F77D7" w:rsidR="00D85865" w:rsidRPr="00D66A32" w:rsidRDefault="00D85865" w:rsidP="00DB3425">
      <w:pPr>
        <w:spacing w:line="360" w:lineRule="auto"/>
        <w:jc w:val="center"/>
        <w:rPr>
          <w:rFonts w:ascii="Arial" w:hAnsi="Arial" w:cs="Arial"/>
          <w:szCs w:val="21"/>
        </w:rPr>
      </w:pPr>
    </w:p>
    <w:p w14:paraId="5A84F7F3" w14:textId="6D6E203B" w:rsidR="00D85865" w:rsidRPr="00D66A32" w:rsidRDefault="00D85865" w:rsidP="00D85865">
      <w:pPr>
        <w:spacing w:line="360" w:lineRule="auto"/>
        <w:rPr>
          <w:rFonts w:ascii="Arial" w:hAnsi="Arial" w:cs="Arial"/>
          <w:szCs w:val="21"/>
        </w:rPr>
      </w:pPr>
      <w:r w:rsidRPr="00D66A32">
        <w:rPr>
          <w:rFonts w:ascii="Arial" w:hAnsi="Arial" w:cs="Arial"/>
          <w:b/>
          <w:bCs/>
          <w:szCs w:val="21"/>
        </w:rPr>
        <w:t xml:space="preserve">Fig. S2 </w:t>
      </w:r>
      <w:r w:rsidR="00321244" w:rsidRPr="00D66A32">
        <w:rPr>
          <w:rFonts w:ascii="Arial" w:hAnsi="Arial" w:cs="Arial"/>
          <w:b/>
          <w:bCs/>
          <w:szCs w:val="21"/>
        </w:rPr>
        <w:t>Nuclear Magnetic Resonance (NMR) spectroscopy of HR488B</w:t>
      </w:r>
      <w:r w:rsidR="00F42610" w:rsidRPr="00D66A32">
        <w:rPr>
          <w:rFonts w:ascii="Arial" w:hAnsi="Arial" w:cs="Arial"/>
          <w:b/>
          <w:bCs/>
          <w:szCs w:val="21"/>
        </w:rPr>
        <w:t xml:space="preserve">. </w:t>
      </w:r>
      <w:r w:rsidRPr="00D66A32">
        <w:rPr>
          <w:rFonts w:ascii="Arial" w:hAnsi="Arial" w:cs="Arial"/>
          <w:b/>
          <w:bCs/>
          <w:szCs w:val="21"/>
        </w:rPr>
        <w:t>a</w:t>
      </w:r>
      <w:r w:rsidRPr="00D66A32">
        <w:rPr>
          <w:rFonts w:ascii="Arial" w:hAnsi="Arial" w:cs="Arial"/>
          <w:szCs w:val="21"/>
        </w:rPr>
        <w:t xml:space="preserve"> 1H NMR (600 MHz, DMSO-d6) δ 10.30 (</w:t>
      </w:r>
      <w:proofErr w:type="spellStart"/>
      <w:r w:rsidRPr="00D66A32">
        <w:rPr>
          <w:rFonts w:ascii="Arial" w:hAnsi="Arial" w:cs="Arial"/>
          <w:szCs w:val="21"/>
        </w:rPr>
        <w:t>br</w:t>
      </w:r>
      <w:proofErr w:type="spellEnd"/>
      <w:r w:rsidRPr="00D66A32">
        <w:rPr>
          <w:rFonts w:ascii="Arial" w:hAnsi="Arial" w:cs="Arial"/>
          <w:szCs w:val="21"/>
        </w:rPr>
        <w:t xml:space="preserve"> s, 1H), 8.64 (</w:t>
      </w:r>
      <w:proofErr w:type="spellStart"/>
      <w:r w:rsidRPr="00D66A32">
        <w:rPr>
          <w:rFonts w:ascii="Arial" w:hAnsi="Arial" w:cs="Arial"/>
          <w:szCs w:val="21"/>
        </w:rPr>
        <w:t>br</w:t>
      </w:r>
      <w:proofErr w:type="spellEnd"/>
      <w:r w:rsidRPr="00D66A32">
        <w:rPr>
          <w:rFonts w:ascii="Arial" w:hAnsi="Arial" w:cs="Arial"/>
          <w:szCs w:val="21"/>
        </w:rPr>
        <w:t xml:space="preserve"> s, 1H), 8.03 (s, 1H), 7.78 (dd, J = 7.8, 7.8 Hz, 1H), 7.54 (dd, J = 7.8, 7.8 Hz, 1H), 7.42 – 7.36 (m, 2H), 7.23 (d, J = 9.0 Hz, 2H), 6.97 (d, J = 9.0 Hz, 2H), 5.09 (s, 2H), 3.76 (s, 3H), 2.06 (t, J = 7.2 Hz, 2H), 1.88 (t, J = 7.2 Hz, 2H), 1.49 – 1.44 (m, 2H), 1.41 – 1.36 (m, 2H), 1.16 – 1.11 (m, 2H). </w:t>
      </w:r>
      <w:r w:rsidRPr="00D66A32">
        <w:rPr>
          <w:rFonts w:ascii="Arial" w:hAnsi="Arial" w:cs="Arial"/>
          <w:b/>
          <w:bCs/>
          <w:szCs w:val="21"/>
        </w:rPr>
        <w:t>b</w:t>
      </w:r>
      <w:r w:rsidRPr="00D66A32">
        <w:rPr>
          <w:rFonts w:ascii="Arial" w:hAnsi="Arial" w:cs="Arial"/>
          <w:szCs w:val="21"/>
        </w:rPr>
        <w:t xml:space="preserve"> 13C NMR (150 MHz, DMSO-d6) δ 172.32, 168.97, 166.11, 158.61, 149.98, 134.72, 132.76, 131.39, 130.9, 130.34, 129.55, 129.22, 127.38, 119.78, 114.76, 55.34, 50.50, 33.10, 32.12, 28.15, 24.91, 24.57. NMR spectra were recorded on a Bruker 600 MHz instrument and obtained as DMSO-d6 solutions (reported in ppm).</w:t>
      </w:r>
    </w:p>
    <w:p w14:paraId="3A291E23" w14:textId="4182A9D1" w:rsidR="00D85865" w:rsidRPr="00D66A32" w:rsidRDefault="00D85865" w:rsidP="00D85865">
      <w:pPr>
        <w:spacing w:line="360" w:lineRule="auto"/>
        <w:rPr>
          <w:rFonts w:ascii="Arial" w:hAnsi="Arial" w:cs="Arial"/>
          <w:szCs w:val="21"/>
        </w:rPr>
      </w:pPr>
    </w:p>
    <w:p w14:paraId="4289A01E" w14:textId="2B4A9FBC" w:rsidR="005D5FFF" w:rsidRPr="00D66A32" w:rsidRDefault="005D5FFF" w:rsidP="00D85865">
      <w:pPr>
        <w:spacing w:line="360" w:lineRule="auto"/>
        <w:rPr>
          <w:rFonts w:ascii="Arial" w:hAnsi="Arial" w:cs="Arial"/>
          <w:szCs w:val="21"/>
        </w:rPr>
      </w:pPr>
    </w:p>
    <w:p w14:paraId="5675FE07" w14:textId="1EC63B0E" w:rsidR="00D85865" w:rsidRPr="00D66A32" w:rsidRDefault="00D85865" w:rsidP="00D85865">
      <w:pPr>
        <w:spacing w:line="360" w:lineRule="auto"/>
        <w:rPr>
          <w:rFonts w:ascii="Arial" w:hAnsi="Arial" w:cs="Arial"/>
          <w:szCs w:val="21"/>
        </w:rPr>
      </w:pPr>
      <w:r w:rsidRPr="00D66A32">
        <w:rPr>
          <w:rFonts w:ascii="Arial" w:hAnsi="Arial" w:cs="Arial"/>
          <w:b/>
          <w:bCs/>
          <w:szCs w:val="21"/>
        </w:rPr>
        <w:t xml:space="preserve">Fig. S3 HR488B exhibits anti-tumor activity. a-e </w:t>
      </w:r>
      <w:r w:rsidRPr="00D66A32">
        <w:rPr>
          <w:rFonts w:ascii="Arial" w:hAnsi="Arial" w:cs="Arial"/>
          <w:szCs w:val="21"/>
        </w:rPr>
        <w:t xml:space="preserve">H1299, A549, MCF-7, and HepG2 cells were seeded in 96-well plates and treated with HR488B (0.01, 0.05, 0.1, 0.25, 0.5, 1, 2.5, 5, 10, and 20 </w:t>
      </w:r>
      <w:proofErr w:type="spellStart"/>
      <w:r w:rsidRPr="00D66A32">
        <w:rPr>
          <w:rFonts w:ascii="Arial" w:hAnsi="Arial" w:cs="Arial"/>
          <w:szCs w:val="21"/>
        </w:rPr>
        <w:t>μM</w:t>
      </w:r>
      <w:proofErr w:type="spellEnd"/>
      <w:r w:rsidRPr="00D66A32">
        <w:rPr>
          <w:rFonts w:ascii="Arial" w:hAnsi="Arial" w:cs="Arial"/>
          <w:szCs w:val="21"/>
        </w:rPr>
        <w:t>) for 72 h. The IC</w:t>
      </w:r>
      <w:r w:rsidRPr="00D66A32">
        <w:rPr>
          <w:rFonts w:ascii="Arial" w:hAnsi="Arial" w:cs="Arial"/>
          <w:szCs w:val="21"/>
          <w:vertAlign w:val="subscript"/>
        </w:rPr>
        <w:t>50</w:t>
      </w:r>
      <w:r w:rsidRPr="00D66A32">
        <w:rPr>
          <w:rFonts w:ascii="Arial" w:hAnsi="Arial" w:cs="Arial"/>
          <w:szCs w:val="21"/>
        </w:rPr>
        <w:t xml:space="preserve"> value of HR488B on non-small cell lung cancer, breast cancer, and liver cancer. </w:t>
      </w:r>
      <w:r w:rsidRPr="00D66A32">
        <w:rPr>
          <w:rFonts w:ascii="Arial" w:hAnsi="Arial" w:cs="Arial"/>
          <w:b/>
          <w:bCs/>
          <w:szCs w:val="21"/>
        </w:rPr>
        <w:t>f</w:t>
      </w:r>
      <w:r w:rsidRPr="00D66A32">
        <w:rPr>
          <w:rFonts w:ascii="Arial" w:hAnsi="Arial" w:cs="Arial"/>
          <w:szCs w:val="21"/>
        </w:rPr>
        <w:t xml:space="preserve"> 293T, HCT116, and HT29 cells were treated with various concentrations of HR488B (0, 0.1, 0.2, 0.5, 1 </w:t>
      </w:r>
      <w:proofErr w:type="spellStart"/>
      <w:r w:rsidRPr="00D66A32">
        <w:rPr>
          <w:rFonts w:ascii="Arial" w:hAnsi="Arial" w:cs="Arial"/>
          <w:szCs w:val="21"/>
        </w:rPr>
        <w:t>μM</w:t>
      </w:r>
      <w:proofErr w:type="spellEnd"/>
      <w:r w:rsidRPr="00D66A32">
        <w:rPr>
          <w:rFonts w:ascii="Arial" w:hAnsi="Arial" w:cs="Arial"/>
          <w:szCs w:val="21"/>
        </w:rPr>
        <w:t>)</w:t>
      </w:r>
      <w:r w:rsidR="00061365" w:rsidRPr="00D66A32">
        <w:rPr>
          <w:rFonts w:ascii="Arial" w:hAnsi="Arial" w:cs="Arial"/>
          <w:szCs w:val="21"/>
        </w:rPr>
        <w:t>,</w:t>
      </w:r>
      <w:r w:rsidRPr="00D66A32">
        <w:rPr>
          <w:rFonts w:ascii="Arial" w:hAnsi="Arial" w:cs="Arial"/>
          <w:szCs w:val="21"/>
        </w:rPr>
        <w:t xml:space="preserve"> and cell viability was measured at 72 h using CCK-8 assay.</w:t>
      </w:r>
    </w:p>
    <w:p w14:paraId="241BF902" w14:textId="65D1BEC1" w:rsidR="00415EEB" w:rsidRPr="00D66A32" w:rsidRDefault="00415EEB" w:rsidP="00415EEB">
      <w:pPr>
        <w:spacing w:line="360" w:lineRule="auto"/>
        <w:rPr>
          <w:rFonts w:ascii="Arial" w:hAnsi="Arial" w:cs="Arial"/>
          <w:b/>
          <w:bCs/>
        </w:rPr>
      </w:pPr>
    </w:p>
    <w:p w14:paraId="602C9186" w14:textId="0986BB05" w:rsidR="00415EEB" w:rsidRPr="00D66A32" w:rsidRDefault="00415EEB" w:rsidP="00A86D5E">
      <w:pPr>
        <w:spacing w:line="360" w:lineRule="auto"/>
        <w:rPr>
          <w:rFonts w:ascii="Arial" w:hAnsi="Arial" w:cs="Arial"/>
          <w:b/>
          <w:bCs/>
        </w:rPr>
      </w:pPr>
      <w:r w:rsidRPr="00D66A32">
        <w:rPr>
          <w:rFonts w:ascii="Arial" w:hAnsi="Arial" w:cs="Arial"/>
          <w:b/>
          <w:bCs/>
          <w:szCs w:val="21"/>
        </w:rPr>
        <w:t>Fig. S4</w:t>
      </w:r>
      <w:r w:rsidRPr="00D66A32">
        <w:rPr>
          <w:rFonts w:ascii="Arial" w:hAnsi="Arial" w:cs="Arial"/>
          <w:b/>
          <w:bCs/>
          <w:color w:val="2E74B5" w:themeColor="accent5" w:themeShade="BF"/>
          <w:szCs w:val="21"/>
        </w:rPr>
        <w:t xml:space="preserve"> </w:t>
      </w:r>
      <w:r w:rsidR="00A86D5E" w:rsidRPr="00D66A32">
        <w:rPr>
          <w:rFonts w:ascii="Arial" w:hAnsi="Arial" w:cs="Arial"/>
          <w:b/>
          <w:bCs/>
        </w:rPr>
        <w:t>The binding pattern of HR488B in the active site of HDAC2 (PDB 7ZZS).</w:t>
      </w:r>
      <w:r w:rsidR="00EF610D" w:rsidRPr="00D66A32">
        <w:rPr>
          <w:rFonts w:ascii="Arial" w:hAnsi="Arial" w:cs="Arial"/>
          <w:b/>
          <w:bCs/>
          <w:color w:val="2E74B5" w:themeColor="accent5" w:themeShade="BF"/>
        </w:rPr>
        <w:t xml:space="preserve"> </w:t>
      </w:r>
      <w:proofErr w:type="spellStart"/>
      <w:r w:rsidRPr="00D66A32">
        <w:rPr>
          <w:rFonts w:ascii="Arial" w:hAnsi="Arial" w:cs="Arial" w:hint="eastAsia"/>
          <w:b/>
          <w:bCs/>
        </w:rPr>
        <w:t>a</w:t>
      </w:r>
      <w:proofErr w:type="spellEnd"/>
      <w:r w:rsidRPr="00D66A32">
        <w:rPr>
          <w:rFonts w:ascii="Arial" w:hAnsi="Arial" w:cs="Arial"/>
          <w:b/>
          <w:bCs/>
        </w:rPr>
        <w:t xml:space="preserve"> </w:t>
      </w:r>
      <w:proofErr w:type="gramStart"/>
      <w:r w:rsidRPr="00D66A32">
        <w:rPr>
          <w:rFonts w:ascii="Arial" w:hAnsi="Arial" w:cs="Arial"/>
        </w:rPr>
        <w:t>T</w:t>
      </w:r>
      <w:r w:rsidRPr="00D66A32">
        <w:rPr>
          <w:rFonts w:ascii="Arial" w:hAnsi="Arial" w:cs="Arial" w:hint="eastAsia"/>
        </w:rPr>
        <w:t>h</w:t>
      </w:r>
      <w:r w:rsidRPr="00D66A32">
        <w:rPr>
          <w:rFonts w:ascii="Arial" w:hAnsi="Arial" w:cs="Arial"/>
        </w:rPr>
        <w:t>e</w:t>
      </w:r>
      <w:proofErr w:type="gramEnd"/>
      <w:r w:rsidRPr="00D66A32">
        <w:rPr>
          <w:rFonts w:ascii="Arial" w:hAnsi="Arial" w:cs="Arial"/>
        </w:rPr>
        <w:t xml:space="preserve"> </w:t>
      </w:r>
      <w:r w:rsidRPr="00D66A32">
        <w:rPr>
          <w:rFonts w:ascii="Arial" w:hAnsi="Arial" w:cs="Arial"/>
        </w:rPr>
        <w:lastRenderedPageBreak/>
        <w:t xml:space="preserve">3D binding mode of HR488B in the active site of HDAC2. The protein and ligand HR488B and HDAC2 are shown by cartoon and stick respectively with key residues labeled and demonstrated as green sticks, and the hydrogen bonds are labeled by red dashed lines. </w:t>
      </w:r>
      <w:r w:rsidR="00B673DA" w:rsidRPr="00D66A32">
        <w:rPr>
          <w:rFonts w:ascii="Arial" w:hAnsi="Arial" w:cs="Arial"/>
        </w:rPr>
        <w:t xml:space="preserve">Docking Score of HR488B and HDAC2 is shown. </w:t>
      </w:r>
      <w:r w:rsidRPr="00D66A32">
        <w:rPr>
          <w:rFonts w:ascii="Arial" w:hAnsi="Arial" w:cs="Arial"/>
          <w:b/>
          <w:bCs/>
        </w:rPr>
        <w:t xml:space="preserve">b </w:t>
      </w:r>
      <w:r w:rsidRPr="00D66A32">
        <w:rPr>
          <w:rFonts w:ascii="Arial" w:hAnsi="Arial" w:cs="Arial"/>
        </w:rPr>
        <w:t>Diagrammatic illustration of interaction between HDAC2 binding site residues and HR488B by BIOVIA Discovery Studio Visualizer software. Ligand is presented by gray line, green dashed line is conventional hydrogen bonds, light green dashed line is Van der Waals, and light pink dashed line is Pi-Alkyl.</w:t>
      </w:r>
    </w:p>
    <w:p w14:paraId="08602691" w14:textId="77777777" w:rsidR="00415EEB" w:rsidRPr="00D66A32" w:rsidRDefault="00415EEB" w:rsidP="00D85865">
      <w:pPr>
        <w:spacing w:line="360" w:lineRule="auto"/>
        <w:rPr>
          <w:rFonts w:ascii="Arial" w:hAnsi="Arial" w:cs="Arial"/>
          <w:szCs w:val="21"/>
        </w:rPr>
      </w:pPr>
    </w:p>
    <w:p w14:paraId="0107418A" w14:textId="71D2CDDE" w:rsidR="00415EEB" w:rsidRPr="00D66A32" w:rsidRDefault="00D85865" w:rsidP="00D85865">
      <w:pPr>
        <w:spacing w:line="360" w:lineRule="auto"/>
        <w:rPr>
          <w:rFonts w:ascii="Arial" w:hAnsi="Arial" w:cs="Arial"/>
          <w:b/>
          <w:bCs/>
        </w:rPr>
      </w:pPr>
      <w:r w:rsidRPr="00D66A32">
        <w:rPr>
          <w:rFonts w:ascii="Arial" w:hAnsi="Arial" w:cs="Arial"/>
          <w:b/>
          <w:bCs/>
          <w:szCs w:val="21"/>
        </w:rPr>
        <w:t>Fig. S</w:t>
      </w:r>
      <w:r w:rsidR="00415EEB" w:rsidRPr="00D66A32">
        <w:rPr>
          <w:rFonts w:ascii="Arial" w:hAnsi="Arial" w:cs="Arial"/>
          <w:b/>
          <w:bCs/>
          <w:szCs w:val="21"/>
        </w:rPr>
        <w:t>5</w:t>
      </w:r>
      <w:r w:rsidRPr="00D66A32">
        <w:rPr>
          <w:rFonts w:ascii="Arial" w:hAnsi="Arial" w:cs="Arial"/>
          <w:b/>
          <w:bCs/>
          <w:szCs w:val="21"/>
        </w:rPr>
        <w:t xml:space="preserve"> Docking score of SAHA and HR488B and interaction mode of HR488B. a</w:t>
      </w:r>
      <w:r w:rsidRPr="00D66A32">
        <w:rPr>
          <w:rFonts w:ascii="Arial" w:hAnsi="Arial" w:cs="Arial"/>
          <w:szCs w:val="21"/>
        </w:rPr>
        <w:t xml:space="preserve"> Docking score of SAHA and HR488B. </w:t>
      </w:r>
      <w:r w:rsidRPr="00D66A32">
        <w:rPr>
          <w:rFonts w:ascii="Arial" w:hAnsi="Arial" w:cs="Arial"/>
          <w:b/>
          <w:bCs/>
          <w:szCs w:val="21"/>
        </w:rPr>
        <w:t>b</w:t>
      </w:r>
      <w:r w:rsidRPr="00D66A32">
        <w:rPr>
          <w:rFonts w:ascii="Arial" w:hAnsi="Arial" w:cs="Arial"/>
          <w:szCs w:val="21"/>
        </w:rPr>
        <w:t xml:space="preserve"> Hydrogen bond analysis for each protein−ligand system.</w:t>
      </w:r>
      <w:r w:rsidR="009F7FDF" w:rsidRPr="00D66A32">
        <w:rPr>
          <w:rFonts w:ascii="Arial" w:hAnsi="Arial" w:cs="Arial"/>
          <w:szCs w:val="21"/>
        </w:rPr>
        <w:t xml:space="preserve"> </w:t>
      </w:r>
      <w:r w:rsidRPr="00D66A32">
        <w:rPr>
          <w:rFonts w:ascii="Arial" w:hAnsi="Arial" w:cs="Arial"/>
          <w:b/>
          <w:bCs/>
          <w:szCs w:val="21"/>
        </w:rPr>
        <w:t xml:space="preserve">c </w:t>
      </w:r>
      <w:r w:rsidRPr="00D66A32">
        <w:rPr>
          <w:rFonts w:ascii="Arial" w:hAnsi="Arial" w:cs="Arial"/>
          <w:szCs w:val="21"/>
        </w:rPr>
        <w:t xml:space="preserve">Depicted the interaction between HDAC1 and HR488B at 3 ns, conventional hydrogen bonds (green) and carbon hydrogen bonds (light green) were marked in red. </w:t>
      </w:r>
      <w:r w:rsidRPr="00D66A32">
        <w:rPr>
          <w:rFonts w:ascii="Arial" w:hAnsi="Arial" w:cs="Arial"/>
          <w:b/>
          <w:bCs/>
          <w:szCs w:val="21"/>
        </w:rPr>
        <w:t xml:space="preserve">d </w:t>
      </w:r>
      <w:r w:rsidRPr="00D66A32">
        <w:rPr>
          <w:rFonts w:ascii="Arial" w:hAnsi="Arial" w:cs="Arial"/>
          <w:szCs w:val="21"/>
        </w:rPr>
        <w:t xml:space="preserve">2D binding model at 5.5 ns. </w:t>
      </w:r>
      <w:r w:rsidRPr="00D66A32">
        <w:rPr>
          <w:rFonts w:ascii="Arial" w:hAnsi="Arial" w:cs="Arial"/>
          <w:b/>
          <w:bCs/>
          <w:szCs w:val="21"/>
        </w:rPr>
        <w:t>e</w:t>
      </w:r>
      <w:r w:rsidRPr="00D66A32">
        <w:rPr>
          <w:rFonts w:ascii="Arial" w:hAnsi="Arial" w:cs="Arial"/>
          <w:szCs w:val="21"/>
        </w:rPr>
        <w:t xml:space="preserve"> 2D binding model at 8 ns.</w:t>
      </w:r>
      <w:r w:rsidR="0013182C" w:rsidRPr="00D66A32">
        <w:rPr>
          <w:rFonts w:ascii="Arial" w:hAnsi="Arial" w:cs="Arial"/>
          <w:b/>
          <w:bCs/>
        </w:rPr>
        <w:t xml:space="preserve"> </w:t>
      </w:r>
    </w:p>
    <w:p w14:paraId="154DF2F5" w14:textId="2585CE36" w:rsidR="00D85865" w:rsidRPr="00D66A32" w:rsidRDefault="00D85865" w:rsidP="00FE4B75">
      <w:pPr>
        <w:spacing w:line="360" w:lineRule="auto"/>
        <w:jc w:val="center"/>
        <w:rPr>
          <w:rFonts w:ascii="Arial" w:hAnsi="Arial" w:cs="Arial"/>
          <w:szCs w:val="21"/>
        </w:rPr>
      </w:pPr>
    </w:p>
    <w:p w14:paraId="6A6E5F0B" w14:textId="590D6C61" w:rsidR="00D85865" w:rsidRDefault="00D85865" w:rsidP="00D85865">
      <w:pPr>
        <w:spacing w:line="360" w:lineRule="auto"/>
        <w:rPr>
          <w:rFonts w:ascii="Arial" w:hAnsi="Arial" w:cs="Arial"/>
          <w:szCs w:val="21"/>
        </w:rPr>
      </w:pPr>
      <w:r w:rsidRPr="00D66A32">
        <w:rPr>
          <w:rFonts w:ascii="Arial" w:hAnsi="Arial" w:cs="Arial"/>
          <w:b/>
          <w:bCs/>
          <w:szCs w:val="21"/>
        </w:rPr>
        <w:t>Fig. S</w:t>
      </w:r>
      <w:r w:rsidR="00415EEB" w:rsidRPr="00D66A32">
        <w:rPr>
          <w:rFonts w:ascii="Arial" w:hAnsi="Arial" w:cs="Arial"/>
          <w:b/>
          <w:bCs/>
          <w:szCs w:val="21"/>
        </w:rPr>
        <w:t>6</w:t>
      </w:r>
      <w:r w:rsidRPr="00D66A32">
        <w:rPr>
          <w:rFonts w:ascii="Arial" w:hAnsi="Arial" w:cs="Arial"/>
          <w:b/>
          <w:bCs/>
          <w:szCs w:val="21"/>
        </w:rPr>
        <w:t xml:space="preserve"> HR488B </w:t>
      </w:r>
      <w:r w:rsidR="00A86D5E" w:rsidRPr="00D66A32">
        <w:rPr>
          <w:rFonts w:ascii="Arial" w:hAnsi="Arial" w:cs="Arial"/>
          <w:b/>
          <w:bCs/>
          <w:szCs w:val="21"/>
        </w:rPr>
        <w:t>alter</w:t>
      </w:r>
      <w:r w:rsidR="00F42610" w:rsidRPr="00D66A32">
        <w:rPr>
          <w:rFonts w:ascii="Arial" w:hAnsi="Arial" w:cs="Arial"/>
          <w:b/>
          <w:bCs/>
          <w:szCs w:val="21"/>
        </w:rPr>
        <w:t>s</w:t>
      </w:r>
      <w:r w:rsidRPr="00D66A32">
        <w:rPr>
          <w:rFonts w:ascii="Arial" w:hAnsi="Arial" w:cs="Arial"/>
          <w:b/>
          <w:bCs/>
          <w:szCs w:val="21"/>
        </w:rPr>
        <w:t xml:space="preserve"> gene expression in CRC. a</w:t>
      </w:r>
      <w:r w:rsidRPr="00D66A32">
        <w:rPr>
          <w:rFonts w:ascii="Arial" w:hAnsi="Arial" w:cs="Arial"/>
          <w:szCs w:val="21"/>
        </w:rPr>
        <w:t xml:space="preserve"> Venn diagram showing the overlap of 12451 genes from HR488B-treated group and DMSO control group. </w:t>
      </w:r>
      <w:r w:rsidRPr="00D66A32">
        <w:rPr>
          <w:rFonts w:ascii="Arial" w:hAnsi="Arial" w:cs="Arial" w:hint="eastAsia"/>
          <w:b/>
          <w:bCs/>
          <w:szCs w:val="21"/>
        </w:rPr>
        <w:t>b</w:t>
      </w:r>
      <w:r w:rsidRPr="00D66A32">
        <w:rPr>
          <w:rFonts w:ascii="Arial" w:hAnsi="Arial" w:cs="Arial"/>
          <w:szCs w:val="21"/>
        </w:rPr>
        <w:t xml:space="preserve"> Heatmap illustrating differentially expressed genes between DMSO and HR488B (10 </w:t>
      </w:r>
      <w:proofErr w:type="spellStart"/>
      <w:r w:rsidRPr="00D66A32">
        <w:rPr>
          <w:rFonts w:ascii="Arial" w:hAnsi="Arial" w:cs="Arial"/>
          <w:szCs w:val="21"/>
        </w:rPr>
        <w:t>μM</w:t>
      </w:r>
      <w:proofErr w:type="spellEnd"/>
      <w:r w:rsidRPr="00D66A32">
        <w:rPr>
          <w:rFonts w:ascii="Arial" w:hAnsi="Arial" w:cs="Arial"/>
          <w:szCs w:val="21"/>
        </w:rPr>
        <w:t>) groups.</w:t>
      </w:r>
    </w:p>
    <w:p w14:paraId="6BB034BE" w14:textId="77777777" w:rsidR="00A161A9" w:rsidRPr="00D66A32" w:rsidRDefault="00A161A9" w:rsidP="00D85865">
      <w:pPr>
        <w:spacing w:line="360" w:lineRule="auto"/>
        <w:rPr>
          <w:rFonts w:ascii="Arial" w:hAnsi="Arial" w:cs="Arial"/>
          <w:szCs w:val="21"/>
        </w:rPr>
      </w:pPr>
    </w:p>
    <w:p w14:paraId="20353F0B" w14:textId="751BDE1C" w:rsidR="00A161A9" w:rsidRPr="008665DF" w:rsidRDefault="00A161A9" w:rsidP="00A161A9">
      <w:pPr>
        <w:spacing w:line="360" w:lineRule="auto"/>
        <w:rPr>
          <w:rFonts w:ascii="Arial" w:hAnsi="Arial" w:cs="Arial"/>
          <w:b/>
          <w:bCs/>
          <w:szCs w:val="21"/>
        </w:rPr>
      </w:pPr>
      <w:r w:rsidRPr="00A161A9">
        <w:rPr>
          <w:rFonts w:ascii="Arial" w:hAnsi="Arial" w:cs="Arial" w:hint="eastAsia"/>
          <w:b/>
          <w:bCs/>
        </w:rPr>
        <w:t>Fig</w:t>
      </w:r>
      <w:r w:rsidRPr="00A161A9">
        <w:rPr>
          <w:rFonts w:ascii="Arial" w:hAnsi="Arial" w:cs="Arial"/>
          <w:b/>
          <w:bCs/>
        </w:rPr>
        <w:t>. S</w:t>
      </w:r>
      <w:r w:rsidRPr="00A161A9">
        <w:rPr>
          <w:rFonts w:ascii="Arial" w:hAnsi="Arial" w:cs="Arial" w:hint="eastAsia"/>
          <w:b/>
          <w:bCs/>
        </w:rPr>
        <w:t>7</w:t>
      </w:r>
      <w:r w:rsidRPr="00A161A9">
        <w:rPr>
          <w:rFonts w:ascii="Arial" w:hAnsi="Arial" w:cs="Arial"/>
          <w:b/>
          <w:bCs/>
        </w:rPr>
        <w:t xml:space="preserve"> Overexpression of HDAC1 and E2F1 antagonize the anti-cancer effects of HR488B. </w:t>
      </w:r>
      <w:r w:rsidRPr="00A161A9">
        <w:rPr>
          <w:rFonts w:ascii="Arial" w:hAnsi="Arial" w:cs="Arial"/>
        </w:rPr>
        <w:t>CCK-8 analyzing the effect of HR488B (0.5</w:t>
      </w:r>
      <w:r w:rsidRPr="00A161A9">
        <w:rPr>
          <w:rFonts w:ascii="Arial" w:hAnsi="Arial" w:cs="Arial"/>
          <w:szCs w:val="21"/>
        </w:rPr>
        <w:t>μM) for 24h</w:t>
      </w:r>
      <w:r w:rsidRPr="00A161A9">
        <w:rPr>
          <w:rFonts w:ascii="Arial" w:hAnsi="Arial" w:cs="Arial"/>
        </w:rPr>
        <w:t xml:space="preserve"> on cell viability after overexpression of HDAC1 and E2F1 protein in HCT116 cells. All data are shown as mean ± SD, n=3, two-way ANOVA, *</w:t>
      </w:r>
      <w:r w:rsidRPr="00A161A9">
        <w:rPr>
          <w:rFonts w:ascii="Arial" w:hAnsi="Arial" w:cs="Arial"/>
          <w:i/>
          <w:iCs/>
        </w:rPr>
        <w:t>p</w:t>
      </w:r>
      <w:r w:rsidRPr="00A161A9">
        <w:rPr>
          <w:rFonts w:ascii="Arial" w:hAnsi="Arial" w:cs="Arial"/>
        </w:rPr>
        <w:t xml:space="preserve"> &lt; 0.05, **</w:t>
      </w:r>
      <w:r w:rsidRPr="00A161A9">
        <w:rPr>
          <w:rFonts w:ascii="Arial" w:hAnsi="Arial" w:cs="Arial"/>
          <w:i/>
          <w:iCs/>
        </w:rPr>
        <w:t xml:space="preserve"> p</w:t>
      </w:r>
      <w:r w:rsidRPr="00A161A9">
        <w:rPr>
          <w:rFonts w:ascii="Arial" w:hAnsi="Arial" w:cs="Arial"/>
        </w:rPr>
        <w:t xml:space="preserve"> &lt; 0.01, ***</w:t>
      </w:r>
      <w:r w:rsidRPr="00A161A9">
        <w:rPr>
          <w:rFonts w:ascii="Arial" w:hAnsi="Arial" w:cs="Arial"/>
          <w:i/>
          <w:iCs/>
        </w:rPr>
        <w:t xml:space="preserve"> p</w:t>
      </w:r>
      <w:r w:rsidRPr="00A161A9">
        <w:rPr>
          <w:rFonts w:ascii="Arial" w:hAnsi="Arial" w:cs="Arial"/>
        </w:rPr>
        <w:t xml:space="preserve"> &lt; 0.001.</w:t>
      </w:r>
    </w:p>
    <w:p w14:paraId="1F68CC33" w14:textId="2C0634FC" w:rsidR="00454D71" w:rsidRPr="00D66A32" w:rsidRDefault="00454D71" w:rsidP="00454D71">
      <w:pPr>
        <w:spacing w:line="360" w:lineRule="auto"/>
        <w:jc w:val="center"/>
        <w:rPr>
          <w:rFonts w:ascii="Arial" w:hAnsi="Arial" w:cs="Arial"/>
          <w:b/>
          <w:bCs/>
        </w:rPr>
      </w:pPr>
    </w:p>
    <w:p w14:paraId="126E7D4C" w14:textId="11D1ADAD" w:rsidR="00454D71" w:rsidRPr="00D66A32" w:rsidRDefault="00454D71" w:rsidP="00D14037">
      <w:pPr>
        <w:spacing w:line="360" w:lineRule="auto"/>
      </w:pPr>
      <w:r w:rsidRPr="00D66A32">
        <w:rPr>
          <w:rFonts w:ascii="Arial" w:hAnsi="Arial" w:cs="Arial"/>
          <w:b/>
          <w:bCs/>
          <w:szCs w:val="21"/>
        </w:rPr>
        <w:t>Fig. S</w:t>
      </w:r>
      <w:r w:rsidR="00A161A9">
        <w:rPr>
          <w:rFonts w:ascii="Arial" w:hAnsi="Arial" w:cs="Arial" w:hint="eastAsia"/>
          <w:b/>
          <w:bCs/>
          <w:szCs w:val="21"/>
        </w:rPr>
        <w:t>8</w:t>
      </w:r>
      <w:r w:rsidRPr="00D66A32">
        <w:rPr>
          <w:rFonts w:ascii="Arial" w:hAnsi="Arial" w:cs="Arial"/>
          <w:b/>
          <w:bCs/>
          <w:szCs w:val="21"/>
        </w:rPr>
        <w:t xml:space="preserve"> </w:t>
      </w:r>
      <w:r w:rsidR="00BD3304" w:rsidRPr="00D66A32">
        <w:rPr>
          <w:rFonts w:ascii="Arial" w:hAnsi="Arial" w:cs="Arial"/>
          <w:b/>
          <w:bCs/>
          <w:szCs w:val="21"/>
        </w:rPr>
        <w:t xml:space="preserve">E2F1 is essential for HR488B-induced ROS accumulation. </w:t>
      </w:r>
      <w:r w:rsidRPr="00D66A32">
        <w:rPr>
          <w:rFonts w:ascii="Arial" w:hAnsi="Arial" w:cs="Arial"/>
          <w:b/>
          <w:bCs/>
          <w:szCs w:val="21"/>
        </w:rPr>
        <w:t>a</w:t>
      </w:r>
      <w:r w:rsidRPr="00D66A32">
        <w:rPr>
          <w:rFonts w:ascii="Arial" w:hAnsi="Arial" w:cs="Arial"/>
          <w:color w:val="000000" w:themeColor="text1"/>
          <w:szCs w:val="21"/>
        </w:rPr>
        <w:t xml:space="preserve"> </w:t>
      </w:r>
      <w:r w:rsidRPr="00D66A32">
        <w:rPr>
          <w:rFonts w:ascii="Arial" w:hAnsi="Arial" w:cs="Arial"/>
        </w:rPr>
        <w:t>HCT116 cells were transfected with siRNAs targeting siE2F1 or</w:t>
      </w:r>
      <w:r w:rsidR="009F7FDF" w:rsidRPr="00D66A32">
        <w:rPr>
          <w:rFonts w:ascii="Arial" w:hAnsi="Arial" w:cs="Arial"/>
        </w:rPr>
        <w:t xml:space="preserve"> </w:t>
      </w:r>
      <w:proofErr w:type="spellStart"/>
      <w:r w:rsidR="009F7FDF" w:rsidRPr="00D66A32">
        <w:rPr>
          <w:rFonts w:ascii="Arial" w:hAnsi="Arial" w:cs="Arial"/>
        </w:rPr>
        <w:t>siNC</w:t>
      </w:r>
      <w:proofErr w:type="spellEnd"/>
      <w:r w:rsidRPr="00D66A32">
        <w:rPr>
          <w:rFonts w:ascii="Arial" w:hAnsi="Arial" w:cs="Arial"/>
        </w:rPr>
        <w:t xml:space="preserve">, 24 h later, cells were treated with DMSO or HR488B (0.5 </w:t>
      </w:r>
      <w:proofErr w:type="spellStart"/>
      <w:r w:rsidRPr="00D66A32">
        <w:rPr>
          <w:rFonts w:ascii="Arial" w:hAnsi="Arial" w:cs="Arial"/>
        </w:rPr>
        <w:t>μM</w:t>
      </w:r>
      <w:proofErr w:type="spellEnd"/>
      <w:r w:rsidRPr="00D66A32">
        <w:rPr>
          <w:rFonts w:ascii="Arial" w:hAnsi="Arial" w:cs="Arial"/>
        </w:rPr>
        <w:t xml:space="preserve">) for 24 h, </w:t>
      </w:r>
      <w:r w:rsidRPr="00D66A32">
        <w:rPr>
          <w:rFonts w:ascii="Arial" w:hAnsi="Arial" w:cs="Arial"/>
          <w:color w:val="000000"/>
          <w:szCs w:val="21"/>
        </w:rPr>
        <w:t xml:space="preserve">Intracellular ROS was measured by flow cytometry after 10 </w:t>
      </w:r>
      <w:proofErr w:type="spellStart"/>
      <w:r w:rsidRPr="00D66A32">
        <w:rPr>
          <w:rFonts w:ascii="Arial" w:hAnsi="Arial" w:cs="Arial"/>
          <w:color w:val="000000"/>
          <w:szCs w:val="21"/>
        </w:rPr>
        <w:t>μM</w:t>
      </w:r>
      <w:proofErr w:type="spellEnd"/>
      <w:r w:rsidRPr="00D66A32">
        <w:rPr>
          <w:rFonts w:ascii="Arial" w:hAnsi="Arial" w:cs="Arial"/>
          <w:color w:val="000000"/>
          <w:szCs w:val="21"/>
        </w:rPr>
        <w:t xml:space="preserve"> DCFH-DA staining. </w:t>
      </w:r>
      <w:r w:rsidRPr="00D66A32">
        <w:rPr>
          <w:rFonts w:ascii="Arial" w:hAnsi="Arial" w:cs="Arial" w:hint="eastAsia"/>
          <w:b/>
          <w:bCs/>
          <w:color w:val="000000"/>
          <w:szCs w:val="21"/>
        </w:rPr>
        <w:t>b</w:t>
      </w:r>
      <w:r w:rsidRPr="00D66A32">
        <w:rPr>
          <w:rFonts w:ascii="Arial" w:hAnsi="Arial" w:cs="Arial"/>
          <w:color w:val="000000"/>
          <w:szCs w:val="21"/>
        </w:rPr>
        <w:t xml:space="preserve"> Statistical analysis of the percentage of ROS generation.</w:t>
      </w:r>
      <w:r w:rsidR="009F7FDF" w:rsidRPr="00D66A32">
        <w:rPr>
          <w:rFonts w:ascii="Arial" w:hAnsi="Arial" w:cs="Arial"/>
        </w:rPr>
        <w:t xml:space="preserve"> All data are shown as mean ± SD, n=3, two-way ANOVA, *</w:t>
      </w:r>
      <w:r w:rsidR="009F7FDF" w:rsidRPr="00D66A32">
        <w:rPr>
          <w:rFonts w:ascii="Arial" w:hAnsi="Arial" w:cs="Arial"/>
          <w:i/>
          <w:iCs/>
        </w:rPr>
        <w:t>p</w:t>
      </w:r>
      <w:r w:rsidR="009F7FDF" w:rsidRPr="00D66A32">
        <w:rPr>
          <w:rFonts w:ascii="Arial" w:hAnsi="Arial" w:cs="Arial"/>
        </w:rPr>
        <w:t xml:space="preserve"> &lt; 0.05, **</w:t>
      </w:r>
      <w:r w:rsidR="009F7FDF" w:rsidRPr="00D66A32">
        <w:rPr>
          <w:rFonts w:ascii="Arial" w:hAnsi="Arial" w:cs="Arial"/>
          <w:i/>
          <w:iCs/>
        </w:rPr>
        <w:t xml:space="preserve"> p</w:t>
      </w:r>
      <w:r w:rsidR="009F7FDF" w:rsidRPr="00D66A32">
        <w:rPr>
          <w:rFonts w:ascii="Arial" w:hAnsi="Arial" w:cs="Arial"/>
        </w:rPr>
        <w:t xml:space="preserve"> &lt; 0.01.</w:t>
      </w:r>
    </w:p>
    <w:p w14:paraId="3AD5A723" w14:textId="02D3D9B3" w:rsidR="00415EEB" w:rsidRDefault="00415EEB" w:rsidP="00C730AB">
      <w:pPr>
        <w:spacing w:line="360" w:lineRule="auto"/>
        <w:rPr>
          <w:rFonts w:ascii="Arial" w:hAnsi="Arial" w:cs="Arial"/>
          <w:b/>
          <w:bCs/>
        </w:rPr>
      </w:pPr>
    </w:p>
    <w:p w14:paraId="5F6F27E2" w14:textId="77777777" w:rsidR="00793853" w:rsidRPr="00793853" w:rsidRDefault="00793853" w:rsidP="00C730AB">
      <w:pPr>
        <w:spacing w:line="360" w:lineRule="auto"/>
        <w:rPr>
          <w:rFonts w:ascii="Arial" w:hAnsi="Arial" w:cs="Arial"/>
          <w:b/>
          <w:bCs/>
        </w:rPr>
      </w:pPr>
    </w:p>
    <w:p w14:paraId="1C0997C6" w14:textId="3DCBA4FE" w:rsidR="00CE61B5" w:rsidRPr="00D66A32" w:rsidRDefault="00415EEB" w:rsidP="00CE61B5">
      <w:pPr>
        <w:spacing w:line="360" w:lineRule="auto"/>
        <w:rPr>
          <w:rFonts w:ascii="Arial" w:hAnsi="Arial" w:cs="Arial"/>
          <w:b/>
          <w:bCs/>
          <w:szCs w:val="21"/>
        </w:rPr>
      </w:pPr>
      <w:r w:rsidRPr="00D66A32">
        <w:rPr>
          <w:rFonts w:ascii="Arial" w:hAnsi="Arial" w:cs="Arial"/>
          <w:b/>
          <w:bCs/>
          <w:color w:val="000000" w:themeColor="text1"/>
          <w:szCs w:val="21"/>
        </w:rPr>
        <w:lastRenderedPageBreak/>
        <w:t>Fig. S</w:t>
      </w:r>
      <w:bookmarkStart w:id="0" w:name="OLE_LINK22"/>
      <w:bookmarkStart w:id="1" w:name="OLE_LINK23"/>
      <w:r w:rsidR="00FC2D40" w:rsidRPr="00A161A9">
        <w:rPr>
          <w:rFonts w:ascii="Arial" w:hAnsi="Arial" w:cs="Arial"/>
          <w:b/>
          <w:bCs/>
          <w:color w:val="000000" w:themeColor="text1"/>
          <w:szCs w:val="21"/>
        </w:rPr>
        <w:t>9</w:t>
      </w:r>
      <w:r w:rsidRPr="00D66A32">
        <w:rPr>
          <w:rFonts w:ascii="Arial" w:hAnsi="Arial" w:cs="Arial"/>
          <w:b/>
          <w:bCs/>
          <w:color w:val="000000" w:themeColor="text1"/>
          <w:szCs w:val="21"/>
        </w:rPr>
        <w:t xml:space="preserve"> </w:t>
      </w:r>
      <w:bookmarkEnd w:id="0"/>
      <w:bookmarkEnd w:id="1"/>
      <w:r w:rsidR="00E368D0" w:rsidRPr="00D66A32">
        <w:rPr>
          <w:rFonts w:ascii="Arial" w:hAnsi="Arial" w:cs="Arial"/>
          <w:b/>
          <w:bCs/>
          <w:color w:val="000000" w:themeColor="text1"/>
          <w:szCs w:val="21"/>
        </w:rPr>
        <w:t xml:space="preserve">The effect of HR488B on the transcriptional expression and protein stability of E2F1. </w:t>
      </w:r>
      <w:r w:rsidR="00CE61B5" w:rsidRPr="00D66A32">
        <w:rPr>
          <w:rFonts w:ascii="Arial" w:hAnsi="Arial" w:cs="Arial"/>
          <w:b/>
          <w:bCs/>
          <w:szCs w:val="21"/>
        </w:rPr>
        <w:t>a</w:t>
      </w:r>
      <w:r w:rsidR="00CE61B5" w:rsidRPr="00D66A32">
        <w:rPr>
          <w:rFonts w:ascii="Arial" w:hAnsi="Arial" w:cs="Arial"/>
          <w:szCs w:val="21"/>
        </w:rPr>
        <w:t xml:space="preserve"> HCT116 cells were treated with DMSO or HR488B (0.2, 0.5</w:t>
      </w:r>
      <w:r w:rsidR="003D7682" w:rsidRPr="00D66A32">
        <w:rPr>
          <w:rFonts w:ascii="Arial" w:hAnsi="Arial" w:cs="Arial"/>
          <w:szCs w:val="21"/>
        </w:rPr>
        <w:t>,</w:t>
      </w:r>
      <w:r w:rsidR="00CE61B5" w:rsidRPr="00D66A32">
        <w:rPr>
          <w:rFonts w:ascii="Arial" w:hAnsi="Arial" w:cs="Arial"/>
          <w:szCs w:val="21"/>
        </w:rPr>
        <w:t xml:space="preserve"> and 1μM) for 24 h, and mRNA expression levels of E2F1 were determined by Real-time PCR assays. </w:t>
      </w:r>
      <w:r w:rsidR="00CE61B5" w:rsidRPr="00D66A32">
        <w:rPr>
          <w:rFonts w:ascii="Arial" w:hAnsi="Arial" w:cs="Arial"/>
          <w:b/>
          <w:bCs/>
          <w:szCs w:val="21"/>
        </w:rPr>
        <w:t>b</w:t>
      </w:r>
      <w:r w:rsidR="00CE61B5" w:rsidRPr="00D66A32">
        <w:rPr>
          <w:rFonts w:ascii="Arial" w:hAnsi="Arial" w:cs="Arial"/>
          <w:szCs w:val="21"/>
        </w:rPr>
        <w:t xml:space="preserve"> HCT116 cells were treated </w:t>
      </w:r>
      <w:r w:rsidR="003452A1" w:rsidRPr="00D66A32">
        <w:rPr>
          <w:rFonts w:ascii="Arial" w:hAnsi="Arial" w:cs="Arial"/>
          <w:szCs w:val="21"/>
        </w:rPr>
        <w:t xml:space="preserve">DMSO </w:t>
      </w:r>
      <w:r w:rsidR="00CE61B5" w:rsidRPr="00D66A32">
        <w:rPr>
          <w:rFonts w:ascii="Arial" w:hAnsi="Arial" w:cs="Arial"/>
          <w:szCs w:val="21"/>
        </w:rPr>
        <w:t>or</w:t>
      </w:r>
      <w:r w:rsidR="00CE61B5" w:rsidRPr="00D66A32">
        <w:rPr>
          <w:rFonts w:ascii="Arial" w:hAnsi="Arial" w:cs="Arial" w:hint="eastAsia"/>
          <w:szCs w:val="21"/>
        </w:rPr>
        <w:t xml:space="preserve"> </w:t>
      </w:r>
      <w:r w:rsidR="00CE61B5" w:rsidRPr="00D66A32">
        <w:rPr>
          <w:rFonts w:ascii="Arial" w:hAnsi="Arial" w:cs="Arial"/>
          <w:szCs w:val="21"/>
        </w:rPr>
        <w:t>1μM HR488B for 24 h, followed by the addition of the protein synthesis inhibitor cycloheximide (CHX; 50 mg/mL). Stability of endogenous E2F1 was</w:t>
      </w:r>
      <w:r w:rsidR="00CE61B5" w:rsidRPr="00D66A32">
        <w:rPr>
          <w:rFonts w:ascii="Arial" w:hAnsi="Arial" w:cs="Arial" w:hint="eastAsia"/>
          <w:szCs w:val="21"/>
        </w:rPr>
        <w:t xml:space="preserve"> </w:t>
      </w:r>
      <w:r w:rsidR="00CE61B5" w:rsidRPr="00D66A32">
        <w:rPr>
          <w:rFonts w:ascii="Arial" w:hAnsi="Arial" w:cs="Arial"/>
          <w:szCs w:val="21"/>
        </w:rPr>
        <w:t xml:space="preserve">examined by Western blot assay. </w:t>
      </w:r>
      <w:r w:rsidR="00CE61B5" w:rsidRPr="00D66A32">
        <w:rPr>
          <w:rFonts w:ascii="Arial" w:hAnsi="Arial" w:cs="Arial"/>
          <w:b/>
          <w:bCs/>
          <w:szCs w:val="21"/>
        </w:rPr>
        <w:t xml:space="preserve">c </w:t>
      </w:r>
      <w:proofErr w:type="gramStart"/>
      <w:r w:rsidR="00CE61B5" w:rsidRPr="00D66A32">
        <w:rPr>
          <w:rFonts w:ascii="Arial" w:hAnsi="Arial" w:cs="Arial"/>
          <w:szCs w:val="21"/>
        </w:rPr>
        <w:t>The</w:t>
      </w:r>
      <w:proofErr w:type="gramEnd"/>
      <w:r w:rsidR="00CE61B5" w:rsidRPr="00D66A32">
        <w:rPr>
          <w:rFonts w:ascii="Arial" w:hAnsi="Arial" w:cs="Arial"/>
          <w:szCs w:val="21"/>
        </w:rPr>
        <w:t xml:space="preserve"> statistical result of (</w:t>
      </w:r>
      <w:r w:rsidR="00CE61B5" w:rsidRPr="00D66A32">
        <w:rPr>
          <w:rFonts w:ascii="Arial" w:hAnsi="Arial" w:cs="Arial"/>
          <w:b/>
          <w:bCs/>
          <w:szCs w:val="21"/>
        </w:rPr>
        <w:t>b</w:t>
      </w:r>
      <w:r w:rsidR="00CE61B5" w:rsidRPr="00D66A32">
        <w:rPr>
          <w:rFonts w:ascii="Arial" w:hAnsi="Arial" w:cs="Arial"/>
          <w:szCs w:val="21"/>
        </w:rPr>
        <w:t>)</w:t>
      </w:r>
      <w:r w:rsidR="00CE61B5" w:rsidRPr="00D66A32">
        <w:rPr>
          <w:rFonts w:ascii="Arial" w:hAnsi="Arial" w:cs="Arial"/>
          <w:b/>
          <w:bCs/>
          <w:szCs w:val="21"/>
        </w:rPr>
        <w:t>.</w:t>
      </w:r>
      <w:r w:rsidR="009F7FDF" w:rsidRPr="00D66A32">
        <w:rPr>
          <w:rFonts w:ascii="Arial" w:hAnsi="Arial" w:cs="Arial"/>
          <w:b/>
          <w:bCs/>
          <w:szCs w:val="21"/>
        </w:rPr>
        <w:t xml:space="preserve"> </w:t>
      </w:r>
      <w:r w:rsidR="009F7FDF" w:rsidRPr="00D66A32">
        <w:rPr>
          <w:rFonts w:ascii="Arial" w:hAnsi="Arial" w:cs="Arial"/>
        </w:rPr>
        <w:t>All data are shown as mean ± SD, n=3, two-way ANOVA, *</w:t>
      </w:r>
      <w:r w:rsidR="009F7FDF" w:rsidRPr="00D66A32">
        <w:rPr>
          <w:rFonts w:ascii="Arial" w:hAnsi="Arial" w:cs="Arial"/>
          <w:i/>
          <w:iCs/>
        </w:rPr>
        <w:t>p</w:t>
      </w:r>
      <w:r w:rsidR="009F7FDF" w:rsidRPr="00D66A32">
        <w:rPr>
          <w:rFonts w:ascii="Arial" w:hAnsi="Arial" w:cs="Arial"/>
        </w:rPr>
        <w:t xml:space="preserve"> &lt; 0.05, **</w:t>
      </w:r>
      <w:r w:rsidR="009F7FDF" w:rsidRPr="00D66A32">
        <w:rPr>
          <w:rFonts w:ascii="Arial" w:hAnsi="Arial" w:cs="Arial"/>
          <w:i/>
          <w:iCs/>
        </w:rPr>
        <w:t xml:space="preserve"> p</w:t>
      </w:r>
      <w:r w:rsidR="009F7FDF" w:rsidRPr="00D66A32">
        <w:rPr>
          <w:rFonts w:ascii="Arial" w:hAnsi="Arial" w:cs="Arial"/>
        </w:rPr>
        <w:t xml:space="preserve"> &lt; 0.01, ***</w:t>
      </w:r>
      <w:r w:rsidR="009F7FDF" w:rsidRPr="00D66A32">
        <w:rPr>
          <w:rFonts w:ascii="Arial" w:hAnsi="Arial" w:cs="Arial"/>
          <w:i/>
          <w:iCs/>
        </w:rPr>
        <w:t xml:space="preserve"> p</w:t>
      </w:r>
      <w:r w:rsidR="009F7FDF" w:rsidRPr="00D66A32">
        <w:rPr>
          <w:rFonts w:ascii="Arial" w:hAnsi="Arial" w:cs="Arial"/>
        </w:rPr>
        <w:t xml:space="preserve"> &lt; 0.001.</w:t>
      </w:r>
    </w:p>
    <w:p w14:paraId="25E0F63A" w14:textId="75C3C7EC" w:rsidR="00415EEB" w:rsidRPr="00D66A32" w:rsidRDefault="00415EEB" w:rsidP="00415EEB">
      <w:pPr>
        <w:spacing w:line="360" w:lineRule="auto"/>
        <w:rPr>
          <w:rFonts w:ascii="Arial" w:hAnsi="Arial" w:cs="Arial"/>
          <w:szCs w:val="21"/>
        </w:rPr>
      </w:pPr>
    </w:p>
    <w:p w14:paraId="089B8032" w14:textId="5D3A0060" w:rsidR="00000000" w:rsidRPr="00C730AB" w:rsidRDefault="00415EEB" w:rsidP="00C730AB">
      <w:pPr>
        <w:widowControl/>
        <w:spacing w:line="360" w:lineRule="auto"/>
        <w:rPr>
          <w:rFonts w:ascii="Arial" w:hAnsi="Arial" w:cs="Arial"/>
          <w:szCs w:val="21"/>
        </w:rPr>
      </w:pPr>
      <w:r w:rsidRPr="00D66A32">
        <w:rPr>
          <w:rFonts w:ascii="Arial" w:hAnsi="Arial" w:cs="Arial"/>
          <w:b/>
          <w:bCs/>
          <w:szCs w:val="21"/>
        </w:rPr>
        <w:t>Fig. S</w:t>
      </w:r>
      <w:r w:rsidR="00FC2D40" w:rsidRPr="00A161A9">
        <w:rPr>
          <w:rFonts w:ascii="Arial" w:hAnsi="Arial" w:cs="Arial"/>
          <w:b/>
          <w:bCs/>
          <w:szCs w:val="21"/>
        </w:rPr>
        <w:t>10</w:t>
      </w:r>
      <w:r w:rsidRPr="00D66A32">
        <w:rPr>
          <w:rFonts w:ascii="Arial" w:hAnsi="Arial" w:cs="Arial"/>
          <w:b/>
          <w:bCs/>
          <w:szCs w:val="21"/>
        </w:rPr>
        <w:t xml:space="preserve"> </w:t>
      </w:r>
      <w:r w:rsidR="00CE61B5" w:rsidRPr="00D66A32">
        <w:rPr>
          <w:rFonts w:ascii="Arial" w:hAnsi="Arial" w:cs="Arial"/>
          <w:b/>
          <w:bCs/>
          <w:szCs w:val="21"/>
        </w:rPr>
        <w:t>HR488B remarkably decrease</w:t>
      </w:r>
      <w:r w:rsidR="009F7FDF" w:rsidRPr="00D66A32">
        <w:rPr>
          <w:rFonts w:ascii="Arial" w:hAnsi="Arial" w:cs="Arial"/>
          <w:b/>
          <w:bCs/>
          <w:szCs w:val="21"/>
        </w:rPr>
        <w:t>s</w:t>
      </w:r>
      <w:r w:rsidR="00CE61B5" w:rsidRPr="00D66A32">
        <w:rPr>
          <w:rFonts w:ascii="Arial" w:hAnsi="Arial" w:cs="Arial"/>
          <w:b/>
          <w:bCs/>
          <w:szCs w:val="21"/>
        </w:rPr>
        <w:t xml:space="preserve"> the phosphorylation of Rb protein by inhibiting the expression of CDK4 in HCT116 cells. a</w:t>
      </w:r>
      <w:r w:rsidR="00CE61B5" w:rsidRPr="00D66A32">
        <w:rPr>
          <w:rFonts w:ascii="Arial" w:hAnsi="Arial" w:cs="Arial"/>
          <w:szCs w:val="21"/>
        </w:rPr>
        <w:t xml:space="preserve"> HCT116 cells were treated with DMSO or </w:t>
      </w:r>
      <w:r w:rsidR="00E06F11" w:rsidRPr="00D66A32">
        <w:rPr>
          <w:rFonts w:ascii="Arial" w:hAnsi="Arial" w:cs="Arial"/>
          <w:szCs w:val="21"/>
        </w:rPr>
        <w:t xml:space="preserve">indicated </w:t>
      </w:r>
      <w:r w:rsidR="00CE61B5" w:rsidRPr="00D66A32">
        <w:rPr>
          <w:rFonts w:ascii="Arial" w:hAnsi="Arial" w:cs="Arial"/>
          <w:szCs w:val="21"/>
        </w:rPr>
        <w:t xml:space="preserve">concentrations of HR488B (0.2, 0.5, and 1 </w:t>
      </w:r>
      <w:proofErr w:type="spellStart"/>
      <w:r w:rsidR="00CE61B5" w:rsidRPr="00D66A32">
        <w:rPr>
          <w:rFonts w:ascii="Arial" w:hAnsi="Arial" w:cs="Arial"/>
          <w:szCs w:val="21"/>
        </w:rPr>
        <w:t>μM</w:t>
      </w:r>
      <w:proofErr w:type="spellEnd"/>
      <w:r w:rsidR="00CE61B5" w:rsidRPr="00D66A32">
        <w:rPr>
          <w:rFonts w:ascii="Arial" w:hAnsi="Arial" w:cs="Arial"/>
          <w:szCs w:val="21"/>
        </w:rPr>
        <w:t>) for 24 h, respectively, and the expression of CDK4, Cyclin D1, p-Rb, and Rb was detected by Western blot analysis, and β-actin was detected as the endogenous loading control, accordingly.</w:t>
      </w:r>
      <w:r w:rsidR="00CE61B5" w:rsidRPr="00D66A32">
        <w:t xml:space="preserve"> </w:t>
      </w:r>
      <w:r w:rsidR="00CE61B5" w:rsidRPr="00D66A32">
        <w:rPr>
          <w:rFonts w:ascii="Arial" w:hAnsi="Arial" w:cs="Arial"/>
          <w:b/>
          <w:bCs/>
          <w:szCs w:val="21"/>
        </w:rPr>
        <w:t>b</w:t>
      </w:r>
      <w:r w:rsidR="00CE61B5" w:rsidRPr="00D66A32">
        <w:rPr>
          <w:rFonts w:ascii="Arial" w:hAnsi="Arial" w:cs="Arial"/>
          <w:szCs w:val="21"/>
        </w:rPr>
        <w:t xml:space="preserve"> The statistical result of (</w:t>
      </w:r>
      <w:r w:rsidR="00CE61B5" w:rsidRPr="00D66A32">
        <w:rPr>
          <w:rFonts w:ascii="Arial" w:hAnsi="Arial" w:cs="Arial"/>
          <w:b/>
          <w:bCs/>
          <w:szCs w:val="21"/>
        </w:rPr>
        <w:t>a</w:t>
      </w:r>
      <w:r w:rsidR="00CE61B5" w:rsidRPr="00D66A32">
        <w:rPr>
          <w:rFonts w:ascii="Arial" w:hAnsi="Arial" w:cs="Arial"/>
          <w:szCs w:val="21"/>
        </w:rPr>
        <w:t>).</w:t>
      </w:r>
      <w:r w:rsidR="00CE61B5" w:rsidRPr="00D66A32">
        <w:rPr>
          <w:rFonts w:ascii="Arial" w:hAnsi="Arial" w:cs="Arial"/>
          <w:b/>
          <w:bCs/>
          <w:szCs w:val="21"/>
        </w:rPr>
        <w:t>c</w:t>
      </w:r>
      <w:r w:rsidR="00CE61B5" w:rsidRPr="00D66A32">
        <w:rPr>
          <w:rFonts w:ascii="Arial" w:hAnsi="Arial" w:cs="Arial"/>
          <w:szCs w:val="21"/>
        </w:rPr>
        <w:t xml:space="preserve"> </w:t>
      </w:r>
      <w:r w:rsidR="00CE61B5" w:rsidRPr="00D66A32">
        <w:rPr>
          <w:rFonts w:ascii="Arial" w:hAnsi="Arial" w:cs="Arial"/>
        </w:rPr>
        <w:t xml:space="preserve">HCT116 cells were transfected with siRNAs targeting </w:t>
      </w:r>
      <w:r w:rsidR="00CE61B5" w:rsidRPr="00D66A32">
        <w:rPr>
          <w:rFonts w:ascii="Arial" w:hAnsi="Arial" w:cs="Arial" w:hint="eastAsia"/>
        </w:rPr>
        <w:t>si</w:t>
      </w:r>
      <w:r w:rsidR="00CE61B5" w:rsidRPr="00D66A32">
        <w:rPr>
          <w:rFonts w:ascii="Arial" w:hAnsi="Arial" w:cs="Arial"/>
        </w:rPr>
        <w:t>CDK4 or</w:t>
      </w:r>
      <w:r w:rsidR="009F7FDF" w:rsidRPr="00D66A32">
        <w:rPr>
          <w:rFonts w:ascii="Arial" w:hAnsi="Arial" w:cs="Arial"/>
        </w:rPr>
        <w:t xml:space="preserve"> </w:t>
      </w:r>
      <w:proofErr w:type="spellStart"/>
      <w:r w:rsidR="009F7FDF" w:rsidRPr="00D66A32">
        <w:rPr>
          <w:rFonts w:ascii="Arial" w:hAnsi="Arial" w:cs="Arial"/>
        </w:rPr>
        <w:t>siNC</w:t>
      </w:r>
      <w:proofErr w:type="spellEnd"/>
      <w:r w:rsidR="00CE61B5" w:rsidRPr="00D66A32">
        <w:rPr>
          <w:rFonts w:ascii="Arial" w:hAnsi="Arial" w:cs="Arial"/>
        </w:rPr>
        <w:t xml:space="preserve">, and 48 h later, cells were treated with DMSO or HR488B (0.5 </w:t>
      </w:r>
      <w:proofErr w:type="spellStart"/>
      <w:r w:rsidR="00CE61B5" w:rsidRPr="00D66A32">
        <w:rPr>
          <w:rFonts w:ascii="Arial" w:hAnsi="Arial" w:cs="Arial"/>
        </w:rPr>
        <w:t>μM</w:t>
      </w:r>
      <w:proofErr w:type="spellEnd"/>
      <w:r w:rsidR="00CE61B5" w:rsidRPr="00D66A32">
        <w:rPr>
          <w:rFonts w:ascii="Arial" w:hAnsi="Arial" w:cs="Arial"/>
        </w:rPr>
        <w:t>) for 24 h</w:t>
      </w:r>
      <w:r w:rsidR="00CE61B5" w:rsidRPr="00D66A32">
        <w:rPr>
          <w:rFonts w:ascii="Arial" w:hAnsi="Arial" w:cs="Arial"/>
          <w:szCs w:val="21"/>
        </w:rPr>
        <w:t>,</w:t>
      </w:r>
      <w:r w:rsidR="00CE61B5" w:rsidRPr="00D66A32">
        <w:rPr>
          <w:rFonts w:ascii="Arial" w:hAnsi="Arial" w:cs="Arial" w:hint="eastAsia"/>
        </w:rPr>
        <w:t xml:space="preserve"> </w:t>
      </w:r>
      <w:r w:rsidR="00CE61B5" w:rsidRPr="00D66A32">
        <w:rPr>
          <w:rFonts w:ascii="Arial" w:hAnsi="Arial" w:cs="Arial"/>
        </w:rPr>
        <w:t>and</w:t>
      </w:r>
      <w:r w:rsidR="00E06F11" w:rsidRPr="00D66A32">
        <w:rPr>
          <w:rFonts w:ascii="Arial" w:hAnsi="Arial" w:cs="Arial"/>
        </w:rPr>
        <w:t xml:space="preserve"> then</w:t>
      </w:r>
      <w:r w:rsidR="00CE61B5" w:rsidRPr="00D66A32">
        <w:rPr>
          <w:rFonts w:ascii="Arial" w:hAnsi="Arial" w:cs="Arial"/>
        </w:rPr>
        <w:t xml:space="preserve"> </w:t>
      </w:r>
      <w:r w:rsidR="00CE61B5" w:rsidRPr="00D66A32">
        <w:rPr>
          <w:rFonts w:ascii="Arial" w:hAnsi="Arial" w:cs="Arial"/>
          <w:szCs w:val="21"/>
        </w:rPr>
        <w:t xml:space="preserve">the expression of CDK4, p-Rb, and Rb protein was determined by </w:t>
      </w:r>
      <w:r w:rsidR="00CE61B5" w:rsidRPr="00D66A32">
        <w:rPr>
          <w:rFonts w:ascii="Arial" w:hAnsi="Arial" w:cs="Arial"/>
          <w:color w:val="000000"/>
          <w:kern w:val="0"/>
          <w:szCs w:val="21"/>
        </w:rPr>
        <w:t>Western blot analysis</w:t>
      </w:r>
      <w:r w:rsidR="00CE61B5" w:rsidRPr="00D66A32">
        <w:rPr>
          <w:rFonts w:ascii="Arial" w:hAnsi="Arial" w:cs="Arial"/>
          <w:szCs w:val="21"/>
        </w:rPr>
        <w:t xml:space="preserve">, and β-actin was detected as the endogenous loading control, accordingly. </w:t>
      </w:r>
      <w:r w:rsidR="00CE61B5" w:rsidRPr="00D66A32">
        <w:rPr>
          <w:rFonts w:ascii="Arial" w:hAnsi="Arial" w:cs="Arial"/>
          <w:b/>
          <w:bCs/>
          <w:szCs w:val="21"/>
        </w:rPr>
        <w:t>d</w:t>
      </w:r>
      <w:r w:rsidR="00CE61B5" w:rsidRPr="00D66A32">
        <w:rPr>
          <w:rFonts w:ascii="Arial" w:hAnsi="Arial" w:cs="Arial"/>
          <w:szCs w:val="21"/>
        </w:rPr>
        <w:t xml:space="preserve"> </w:t>
      </w:r>
      <w:proofErr w:type="gramStart"/>
      <w:r w:rsidR="00CE61B5" w:rsidRPr="00D66A32">
        <w:rPr>
          <w:rFonts w:ascii="Arial" w:hAnsi="Arial" w:cs="Arial"/>
          <w:szCs w:val="21"/>
        </w:rPr>
        <w:t>The</w:t>
      </w:r>
      <w:proofErr w:type="gramEnd"/>
      <w:r w:rsidR="00CE61B5" w:rsidRPr="00D66A32">
        <w:rPr>
          <w:rFonts w:ascii="Arial" w:hAnsi="Arial" w:cs="Arial"/>
          <w:szCs w:val="21"/>
        </w:rPr>
        <w:t xml:space="preserve"> statistical result of (</w:t>
      </w:r>
      <w:r w:rsidR="00CE61B5" w:rsidRPr="00D66A32">
        <w:rPr>
          <w:rFonts w:ascii="Arial" w:hAnsi="Arial" w:cs="Arial"/>
          <w:b/>
          <w:bCs/>
          <w:szCs w:val="21"/>
        </w:rPr>
        <w:t>c</w:t>
      </w:r>
      <w:r w:rsidR="00CE61B5" w:rsidRPr="00D66A32">
        <w:rPr>
          <w:rFonts w:ascii="Arial" w:hAnsi="Arial" w:cs="Arial"/>
          <w:szCs w:val="21"/>
        </w:rPr>
        <w:t>).</w:t>
      </w:r>
      <w:r w:rsidR="009F7FDF" w:rsidRPr="00D66A32">
        <w:rPr>
          <w:rFonts w:ascii="Arial" w:hAnsi="Arial" w:cs="Arial"/>
        </w:rPr>
        <w:t xml:space="preserve"> All data are shown as mean ± SD, n=3, two-way ANOVA, *</w:t>
      </w:r>
      <w:r w:rsidR="009F7FDF" w:rsidRPr="00D66A32">
        <w:rPr>
          <w:rFonts w:ascii="Arial" w:hAnsi="Arial" w:cs="Arial"/>
          <w:i/>
          <w:iCs/>
        </w:rPr>
        <w:t>p</w:t>
      </w:r>
      <w:r w:rsidR="009F7FDF" w:rsidRPr="00D66A32">
        <w:rPr>
          <w:rFonts w:ascii="Arial" w:hAnsi="Arial" w:cs="Arial"/>
        </w:rPr>
        <w:t xml:space="preserve"> &lt; 0.05, **</w:t>
      </w:r>
      <w:r w:rsidR="009F7FDF" w:rsidRPr="00D66A32">
        <w:rPr>
          <w:rFonts w:ascii="Arial" w:hAnsi="Arial" w:cs="Arial"/>
          <w:i/>
          <w:iCs/>
        </w:rPr>
        <w:t xml:space="preserve"> p</w:t>
      </w:r>
      <w:r w:rsidR="009F7FDF" w:rsidRPr="00D66A32">
        <w:rPr>
          <w:rFonts w:ascii="Arial" w:hAnsi="Arial" w:cs="Arial"/>
        </w:rPr>
        <w:t xml:space="preserve"> &lt; 0.01, ***</w:t>
      </w:r>
      <w:r w:rsidR="009F7FDF" w:rsidRPr="00D66A32">
        <w:rPr>
          <w:rFonts w:ascii="Arial" w:hAnsi="Arial" w:cs="Arial"/>
          <w:i/>
          <w:iCs/>
        </w:rPr>
        <w:t xml:space="preserve"> p</w:t>
      </w:r>
      <w:r w:rsidR="009F7FDF" w:rsidRPr="00D66A32">
        <w:rPr>
          <w:rFonts w:ascii="Arial" w:hAnsi="Arial" w:cs="Arial"/>
        </w:rPr>
        <w:t xml:space="preserve"> &lt; 0.001.</w:t>
      </w:r>
    </w:p>
    <w:sectPr w:rsidR="00491B83" w:rsidRPr="00C730AB" w:rsidSect="00687DAC">
      <w:footerReference w:type="default" r:id="rId8"/>
      <w:pgSz w:w="11906" w:h="16838"/>
      <w:pgMar w:top="1440" w:right="1800" w:bottom="1440" w:left="1800" w:header="851" w:footer="992" w:gutter="0"/>
      <w:lnNumType w:countBy="1" w:restart="continuous"/>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D207AF" w14:textId="77777777" w:rsidR="00EF174E" w:rsidRDefault="00EF174E" w:rsidP="00705D47">
      <w:r>
        <w:separator/>
      </w:r>
    </w:p>
  </w:endnote>
  <w:endnote w:type="continuationSeparator" w:id="0">
    <w:p w14:paraId="3B1C46BA" w14:textId="77777777" w:rsidR="00EF174E" w:rsidRDefault="00EF174E" w:rsidP="00705D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79967019"/>
      <w:docPartObj>
        <w:docPartGallery w:val="Page Numbers (Bottom of Page)"/>
        <w:docPartUnique/>
      </w:docPartObj>
    </w:sdtPr>
    <w:sdtContent>
      <w:p w14:paraId="56340998" w14:textId="2796A44A" w:rsidR="00705D47" w:rsidRDefault="00705D47">
        <w:pPr>
          <w:pStyle w:val="af4"/>
          <w:jc w:val="center"/>
        </w:pPr>
        <w:r>
          <w:fldChar w:fldCharType="begin"/>
        </w:r>
        <w:r>
          <w:instrText>PAGE   \* MERGEFORMAT</w:instrText>
        </w:r>
        <w:r>
          <w:fldChar w:fldCharType="separate"/>
        </w:r>
        <w:r w:rsidR="00D02241" w:rsidRPr="00D02241">
          <w:rPr>
            <w:noProof/>
            <w:lang w:val="zh-CN"/>
          </w:rPr>
          <w:t>19</w:t>
        </w:r>
        <w:r>
          <w:fldChar w:fldCharType="end"/>
        </w:r>
      </w:p>
    </w:sdtContent>
  </w:sdt>
  <w:p w14:paraId="47A80EF8" w14:textId="77777777" w:rsidR="00705D47" w:rsidRDefault="00705D47">
    <w:pPr>
      <w:pStyle w:val="af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B8B630" w14:textId="77777777" w:rsidR="00EF174E" w:rsidRDefault="00EF174E" w:rsidP="00705D47">
      <w:r>
        <w:separator/>
      </w:r>
    </w:p>
  </w:footnote>
  <w:footnote w:type="continuationSeparator" w:id="0">
    <w:p w14:paraId="5199ECA0" w14:textId="77777777" w:rsidR="00EF174E" w:rsidRDefault="00EF174E" w:rsidP="00705D4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C55725D"/>
    <w:multiLevelType w:val="multilevel"/>
    <w:tmpl w:val="5C55725D"/>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16cid:durableId="15123765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278B"/>
    <w:rsid w:val="00000101"/>
    <w:rsid w:val="00003CA7"/>
    <w:rsid w:val="00004BD0"/>
    <w:rsid w:val="00010224"/>
    <w:rsid w:val="00013A50"/>
    <w:rsid w:val="000149B5"/>
    <w:rsid w:val="00015363"/>
    <w:rsid w:val="00021D0C"/>
    <w:rsid w:val="0002471B"/>
    <w:rsid w:val="000305D9"/>
    <w:rsid w:val="00034FC9"/>
    <w:rsid w:val="00035B5A"/>
    <w:rsid w:val="00037BD7"/>
    <w:rsid w:val="000409CA"/>
    <w:rsid w:val="00040A02"/>
    <w:rsid w:val="000435B4"/>
    <w:rsid w:val="000439B6"/>
    <w:rsid w:val="0004675F"/>
    <w:rsid w:val="00047BFF"/>
    <w:rsid w:val="00047EB1"/>
    <w:rsid w:val="00053CA4"/>
    <w:rsid w:val="000556C0"/>
    <w:rsid w:val="000575A2"/>
    <w:rsid w:val="00061365"/>
    <w:rsid w:val="00080A6F"/>
    <w:rsid w:val="00085633"/>
    <w:rsid w:val="000859F6"/>
    <w:rsid w:val="00094F04"/>
    <w:rsid w:val="00095029"/>
    <w:rsid w:val="000962FD"/>
    <w:rsid w:val="000B74B0"/>
    <w:rsid w:val="000C0CC4"/>
    <w:rsid w:val="000C2523"/>
    <w:rsid w:val="000C4B7C"/>
    <w:rsid w:val="000D3F7B"/>
    <w:rsid w:val="000D4AF8"/>
    <w:rsid w:val="000E23CF"/>
    <w:rsid w:val="000E5D23"/>
    <w:rsid w:val="000E68F4"/>
    <w:rsid w:val="000E6F5E"/>
    <w:rsid w:val="000F3D6E"/>
    <w:rsid w:val="000F71C2"/>
    <w:rsid w:val="0011035C"/>
    <w:rsid w:val="001126A4"/>
    <w:rsid w:val="00127689"/>
    <w:rsid w:val="0013182C"/>
    <w:rsid w:val="001321E7"/>
    <w:rsid w:val="00137C39"/>
    <w:rsid w:val="00140B2C"/>
    <w:rsid w:val="00140D35"/>
    <w:rsid w:val="00142638"/>
    <w:rsid w:val="00143773"/>
    <w:rsid w:val="00143A41"/>
    <w:rsid w:val="001475D1"/>
    <w:rsid w:val="001503FD"/>
    <w:rsid w:val="0015095B"/>
    <w:rsid w:val="00152132"/>
    <w:rsid w:val="00152B75"/>
    <w:rsid w:val="001542A8"/>
    <w:rsid w:val="00164B84"/>
    <w:rsid w:val="00167EB8"/>
    <w:rsid w:val="00172CA7"/>
    <w:rsid w:val="001763ED"/>
    <w:rsid w:val="001819AC"/>
    <w:rsid w:val="001863EA"/>
    <w:rsid w:val="00186FDD"/>
    <w:rsid w:val="001909C6"/>
    <w:rsid w:val="001918B9"/>
    <w:rsid w:val="001926F5"/>
    <w:rsid w:val="0019290F"/>
    <w:rsid w:val="00197CB6"/>
    <w:rsid w:val="001A2134"/>
    <w:rsid w:val="001A506D"/>
    <w:rsid w:val="001B0CA7"/>
    <w:rsid w:val="001B2D33"/>
    <w:rsid w:val="001B3714"/>
    <w:rsid w:val="001C212D"/>
    <w:rsid w:val="001C3AEF"/>
    <w:rsid w:val="001C4C1F"/>
    <w:rsid w:val="001C585D"/>
    <w:rsid w:val="001D00F0"/>
    <w:rsid w:val="001D155B"/>
    <w:rsid w:val="001D64F5"/>
    <w:rsid w:val="001E13C2"/>
    <w:rsid w:val="001E1AD1"/>
    <w:rsid w:val="001E7C26"/>
    <w:rsid w:val="001F5BD6"/>
    <w:rsid w:val="002010AF"/>
    <w:rsid w:val="00210F01"/>
    <w:rsid w:val="002111FF"/>
    <w:rsid w:val="002120CD"/>
    <w:rsid w:val="002124B9"/>
    <w:rsid w:val="00212DF2"/>
    <w:rsid w:val="0021768A"/>
    <w:rsid w:val="0022053F"/>
    <w:rsid w:val="00220841"/>
    <w:rsid w:val="00221596"/>
    <w:rsid w:val="00232452"/>
    <w:rsid w:val="00233858"/>
    <w:rsid w:val="00243173"/>
    <w:rsid w:val="002474DD"/>
    <w:rsid w:val="00250598"/>
    <w:rsid w:val="002543C0"/>
    <w:rsid w:val="002552B4"/>
    <w:rsid w:val="00256615"/>
    <w:rsid w:val="00256D46"/>
    <w:rsid w:val="00260ADF"/>
    <w:rsid w:val="002640BF"/>
    <w:rsid w:val="00264226"/>
    <w:rsid w:val="00267A1F"/>
    <w:rsid w:val="00267CA2"/>
    <w:rsid w:val="00271A5C"/>
    <w:rsid w:val="00271D61"/>
    <w:rsid w:val="0027235C"/>
    <w:rsid w:val="0028359E"/>
    <w:rsid w:val="0028475A"/>
    <w:rsid w:val="00286081"/>
    <w:rsid w:val="00293982"/>
    <w:rsid w:val="00294616"/>
    <w:rsid w:val="00294B7C"/>
    <w:rsid w:val="002959FD"/>
    <w:rsid w:val="002A0D4F"/>
    <w:rsid w:val="002A3571"/>
    <w:rsid w:val="002A43BD"/>
    <w:rsid w:val="002A486D"/>
    <w:rsid w:val="002A4D17"/>
    <w:rsid w:val="002A7934"/>
    <w:rsid w:val="002B1B99"/>
    <w:rsid w:val="002B2043"/>
    <w:rsid w:val="002B2BB3"/>
    <w:rsid w:val="002B46DC"/>
    <w:rsid w:val="002B7FE7"/>
    <w:rsid w:val="002C231D"/>
    <w:rsid w:val="002C2C8A"/>
    <w:rsid w:val="002C65F9"/>
    <w:rsid w:val="002C6C7B"/>
    <w:rsid w:val="002C78D8"/>
    <w:rsid w:val="002D0188"/>
    <w:rsid w:val="002E1DCF"/>
    <w:rsid w:val="002E49AF"/>
    <w:rsid w:val="002E52EB"/>
    <w:rsid w:val="002F00A3"/>
    <w:rsid w:val="002F470E"/>
    <w:rsid w:val="00300822"/>
    <w:rsid w:val="00305F0E"/>
    <w:rsid w:val="003067A8"/>
    <w:rsid w:val="00321244"/>
    <w:rsid w:val="00323D18"/>
    <w:rsid w:val="003319A4"/>
    <w:rsid w:val="00331B60"/>
    <w:rsid w:val="00340A95"/>
    <w:rsid w:val="00340F3D"/>
    <w:rsid w:val="003410C0"/>
    <w:rsid w:val="00342ED0"/>
    <w:rsid w:val="003452A1"/>
    <w:rsid w:val="0034686E"/>
    <w:rsid w:val="003526F9"/>
    <w:rsid w:val="0035299C"/>
    <w:rsid w:val="00370CD9"/>
    <w:rsid w:val="003A26D4"/>
    <w:rsid w:val="003A3CBE"/>
    <w:rsid w:val="003B43C7"/>
    <w:rsid w:val="003C0261"/>
    <w:rsid w:val="003C02AB"/>
    <w:rsid w:val="003C468D"/>
    <w:rsid w:val="003D4AFC"/>
    <w:rsid w:val="003D664F"/>
    <w:rsid w:val="003D6AF2"/>
    <w:rsid w:val="003D7682"/>
    <w:rsid w:val="003E4F1D"/>
    <w:rsid w:val="003F05E1"/>
    <w:rsid w:val="003F299B"/>
    <w:rsid w:val="003F3AE4"/>
    <w:rsid w:val="003F49B5"/>
    <w:rsid w:val="00402785"/>
    <w:rsid w:val="00405084"/>
    <w:rsid w:val="00407DAE"/>
    <w:rsid w:val="004104BE"/>
    <w:rsid w:val="00412AB0"/>
    <w:rsid w:val="00415940"/>
    <w:rsid w:val="00415EEB"/>
    <w:rsid w:val="00416C88"/>
    <w:rsid w:val="0042006B"/>
    <w:rsid w:val="004237F3"/>
    <w:rsid w:val="004243E6"/>
    <w:rsid w:val="004256BC"/>
    <w:rsid w:val="00426197"/>
    <w:rsid w:val="004261EE"/>
    <w:rsid w:val="0043330A"/>
    <w:rsid w:val="004349A2"/>
    <w:rsid w:val="004363A6"/>
    <w:rsid w:val="0045094A"/>
    <w:rsid w:val="0045193F"/>
    <w:rsid w:val="00454D71"/>
    <w:rsid w:val="004555C6"/>
    <w:rsid w:val="00460A73"/>
    <w:rsid w:val="004640C7"/>
    <w:rsid w:val="00466224"/>
    <w:rsid w:val="00467F5C"/>
    <w:rsid w:val="00473B97"/>
    <w:rsid w:val="00476FAA"/>
    <w:rsid w:val="00483D46"/>
    <w:rsid w:val="00493352"/>
    <w:rsid w:val="00497A33"/>
    <w:rsid w:val="004A3A80"/>
    <w:rsid w:val="004A3CCA"/>
    <w:rsid w:val="004A6958"/>
    <w:rsid w:val="004A743C"/>
    <w:rsid w:val="004B47AD"/>
    <w:rsid w:val="004B5363"/>
    <w:rsid w:val="004C35F0"/>
    <w:rsid w:val="004D062E"/>
    <w:rsid w:val="004D0B79"/>
    <w:rsid w:val="004D5F27"/>
    <w:rsid w:val="004D6DDE"/>
    <w:rsid w:val="004E1DB7"/>
    <w:rsid w:val="004E34DC"/>
    <w:rsid w:val="004E60AB"/>
    <w:rsid w:val="004E71C9"/>
    <w:rsid w:val="004F2FEF"/>
    <w:rsid w:val="004F4952"/>
    <w:rsid w:val="004F5F4E"/>
    <w:rsid w:val="0050107F"/>
    <w:rsid w:val="00501E74"/>
    <w:rsid w:val="00511916"/>
    <w:rsid w:val="0051442B"/>
    <w:rsid w:val="005261CC"/>
    <w:rsid w:val="00527164"/>
    <w:rsid w:val="005317E0"/>
    <w:rsid w:val="00535E34"/>
    <w:rsid w:val="00536260"/>
    <w:rsid w:val="00541C2A"/>
    <w:rsid w:val="00556D97"/>
    <w:rsid w:val="00561795"/>
    <w:rsid w:val="00561A54"/>
    <w:rsid w:val="00575450"/>
    <w:rsid w:val="0058154C"/>
    <w:rsid w:val="00583489"/>
    <w:rsid w:val="00584368"/>
    <w:rsid w:val="005A4795"/>
    <w:rsid w:val="005A692D"/>
    <w:rsid w:val="005C00C4"/>
    <w:rsid w:val="005C19A0"/>
    <w:rsid w:val="005C19C0"/>
    <w:rsid w:val="005C6BE6"/>
    <w:rsid w:val="005D01D0"/>
    <w:rsid w:val="005D5FFF"/>
    <w:rsid w:val="005D78E9"/>
    <w:rsid w:val="005E1772"/>
    <w:rsid w:val="005E2B18"/>
    <w:rsid w:val="005E2CD9"/>
    <w:rsid w:val="005F35F1"/>
    <w:rsid w:val="005F76D9"/>
    <w:rsid w:val="00606415"/>
    <w:rsid w:val="00607329"/>
    <w:rsid w:val="00613737"/>
    <w:rsid w:val="00614CA0"/>
    <w:rsid w:val="00620E89"/>
    <w:rsid w:val="00620EBA"/>
    <w:rsid w:val="006216E3"/>
    <w:rsid w:val="00623C1E"/>
    <w:rsid w:val="00625175"/>
    <w:rsid w:val="006256D6"/>
    <w:rsid w:val="0063072D"/>
    <w:rsid w:val="0063543C"/>
    <w:rsid w:val="00635D10"/>
    <w:rsid w:val="00636240"/>
    <w:rsid w:val="00636331"/>
    <w:rsid w:val="006469F4"/>
    <w:rsid w:val="0065068C"/>
    <w:rsid w:val="006517D6"/>
    <w:rsid w:val="00664573"/>
    <w:rsid w:val="00675A9B"/>
    <w:rsid w:val="00675EDE"/>
    <w:rsid w:val="0067749E"/>
    <w:rsid w:val="00677BAA"/>
    <w:rsid w:val="006800D4"/>
    <w:rsid w:val="0068102E"/>
    <w:rsid w:val="00687DAC"/>
    <w:rsid w:val="00691D5F"/>
    <w:rsid w:val="00693426"/>
    <w:rsid w:val="00694177"/>
    <w:rsid w:val="00696ADD"/>
    <w:rsid w:val="006A1997"/>
    <w:rsid w:val="006A32DF"/>
    <w:rsid w:val="006A4346"/>
    <w:rsid w:val="006B3AE7"/>
    <w:rsid w:val="006B6C73"/>
    <w:rsid w:val="006C35CB"/>
    <w:rsid w:val="006C6377"/>
    <w:rsid w:val="006D210C"/>
    <w:rsid w:val="006D66BC"/>
    <w:rsid w:val="006E1A07"/>
    <w:rsid w:val="006E344A"/>
    <w:rsid w:val="006E75D4"/>
    <w:rsid w:val="006F0EE9"/>
    <w:rsid w:val="006F3E81"/>
    <w:rsid w:val="006F4F7D"/>
    <w:rsid w:val="00702B9F"/>
    <w:rsid w:val="00705D47"/>
    <w:rsid w:val="00713287"/>
    <w:rsid w:val="0071552D"/>
    <w:rsid w:val="007204C1"/>
    <w:rsid w:val="00721473"/>
    <w:rsid w:val="007235EE"/>
    <w:rsid w:val="00730559"/>
    <w:rsid w:val="00730A16"/>
    <w:rsid w:val="00733D77"/>
    <w:rsid w:val="00737F74"/>
    <w:rsid w:val="00741C2D"/>
    <w:rsid w:val="007451B1"/>
    <w:rsid w:val="00745B69"/>
    <w:rsid w:val="00746606"/>
    <w:rsid w:val="007470AC"/>
    <w:rsid w:val="007577CC"/>
    <w:rsid w:val="007578E0"/>
    <w:rsid w:val="007614F8"/>
    <w:rsid w:val="00761838"/>
    <w:rsid w:val="007657AB"/>
    <w:rsid w:val="007734F6"/>
    <w:rsid w:val="00775D68"/>
    <w:rsid w:val="007814CE"/>
    <w:rsid w:val="00786747"/>
    <w:rsid w:val="007927B5"/>
    <w:rsid w:val="00792DDE"/>
    <w:rsid w:val="00793853"/>
    <w:rsid w:val="00794715"/>
    <w:rsid w:val="00795030"/>
    <w:rsid w:val="007A1FCA"/>
    <w:rsid w:val="007A2513"/>
    <w:rsid w:val="007A35ED"/>
    <w:rsid w:val="007A73C9"/>
    <w:rsid w:val="007B45DE"/>
    <w:rsid w:val="007B4D40"/>
    <w:rsid w:val="007B740B"/>
    <w:rsid w:val="007C32FB"/>
    <w:rsid w:val="007C4D48"/>
    <w:rsid w:val="007D02C4"/>
    <w:rsid w:val="007E0FBF"/>
    <w:rsid w:val="007E33B0"/>
    <w:rsid w:val="007F0A04"/>
    <w:rsid w:val="007F0FE9"/>
    <w:rsid w:val="007F1E52"/>
    <w:rsid w:val="008012B9"/>
    <w:rsid w:val="00813CF6"/>
    <w:rsid w:val="0081594F"/>
    <w:rsid w:val="00821D87"/>
    <w:rsid w:val="0082611D"/>
    <w:rsid w:val="008327E3"/>
    <w:rsid w:val="00837FB2"/>
    <w:rsid w:val="008411F9"/>
    <w:rsid w:val="0084746E"/>
    <w:rsid w:val="008500AB"/>
    <w:rsid w:val="00866022"/>
    <w:rsid w:val="00866507"/>
    <w:rsid w:val="008665DF"/>
    <w:rsid w:val="0087619A"/>
    <w:rsid w:val="00883CE7"/>
    <w:rsid w:val="008922DA"/>
    <w:rsid w:val="00897B1E"/>
    <w:rsid w:val="008A72D1"/>
    <w:rsid w:val="008B062B"/>
    <w:rsid w:val="008B4840"/>
    <w:rsid w:val="008C0660"/>
    <w:rsid w:val="008C1CDD"/>
    <w:rsid w:val="008C22D9"/>
    <w:rsid w:val="008C54FD"/>
    <w:rsid w:val="008C7CCF"/>
    <w:rsid w:val="008D0A58"/>
    <w:rsid w:val="008D4812"/>
    <w:rsid w:val="008D48B4"/>
    <w:rsid w:val="008E0485"/>
    <w:rsid w:val="008E2355"/>
    <w:rsid w:val="008E7944"/>
    <w:rsid w:val="008F034D"/>
    <w:rsid w:val="008F181D"/>
    <w:rsid w:val="00900932"/>
    <w:rsid w:val="00907A57"/>
    <w:rsid w:val="00911F8A"/>
    <w:rsid w:val="00912DFC"/>
    <w:rsid w:val="00915ADA"/>
    <w:rsid w:val="00921ABA"/>
    <w:rsid w:val="00923153"/>
    <w:rsid w:val="00924E72"/>
    <w:rsid w:val="00925511"/>
    <w:rsid w:val="00926C07"/>
    <w:rsid w:val="00927129"/>
    <w:rsid w:val="00927890"/>
    <w:rsid w:val="0093019C"/>
    <w:rsid w:val="0094064B"/>
    <w:rsid w:val="00943693"/>
    <w:rsid w:val="0095163C"/>
    <w:rsid w:val="00953789"/>
    <w:rsid w:val="00953AF9"/>
    <w:rsid w:val="00954F77"/>
    <w:rsid w:val="009604F0"/>
    <w:rsid w:val="0096122B"/>
    <w:rsid w:val="0097204F"/>
    <w:rsid w:val="009739F7"/>
    <w:rsid w:val="0097567B"/>
    <w:rsid w:val="0098376D"/>
    <w:rsid w:val="00985A4F"/>
    <w:rsid w:val="009862B7"/>
    <w:rsid w:val="00990DA1"/>
    <w:rsid w:val="00993FFC"/>
    <w:rsid w:val="009A2FED"/>
    <w:rsid w:val="009A3020"/>
    <w:rsid w:val="009A6F38"/>
    <w:rsid w:val="009B2BE3"/>
    <w:rsid w:val="009B37D6"/>
    <w:rsid w:val="009B51F6"/>
    <w:rsid w:val="009C447D"/>
    <w:rsid w:val="009D0FAC"/>
    <w:rsid w:val="009D320B"/>
    <w:rsid w:val="009D3E48"/>
    <w:rsid w:val="009D4116"/>
    <w:rsid w:val="009D6B62"/>
    <w:rsid w:val="009E15D4"/>
    <w:rsid w:val="009E3ADE"/>
    <w:rsid w:val="009E749F"/>
    <w:rsid w:val="009F01E1"/>
    <w:rsid w:val="009F16C3"/>
    <w:rsid w:val="009F5A9A"/>
    <w:rsid w:val="009F64C1"/>
    <w:rsid w:val="009F7FDF"/>
    <w:rsid w:val="00A014CA"/>
    <w:rsid w:val="00A04C10"/>
    <w:rsid w:val="00A0579C"/>
    <w:rsid w:val="00A05E85"/>
    <w:rsid w:val="00A05EDF"/>
    <w:rsid w:val="00A11029"/>
    <w:rsid w:val="00A161A9"/>
    <w:rsid w:val="00A27540"/>
    <w:rsid w:val="00A31D15"/>
    <w:rsid w:val="00A33AA2"/>
    <w:rsid w:val="00A41DCD"/>
    <w:rsid w:val="00A45B71"/>
    <w:rsid w:val="00A4648B"/>
    <w:rsid w:val="00A525DC"/>
    <w:rsid w:val="00A541C3"/>
    <w:rsid w:val="00A54CE6"/>
    <w:rsid w:val="00A57AE4"/>
    <w:rsid w:val="00A61FFF"/>
    <w:rsid w:val="00A64C47"/>
    <w:rsid w:val="00A71A08"/>
    <w:rsid w:val="00A7428E"/>
    <w:rsid w:val="00A86D5E"/>
    <w:rsid w:val="00A87CAD"/>
    <w:rsid w:val="00A90F5E"/>
    <w:rsid w:val="00A950B3"/>
    <w:rsid w:val="00A96B9D"/>
    <w:rsid w:val="00AA132D"/>
    <w:rsid w:val="00AA225B"/>
    <w:rsid w:val="00AA43AD"/>
    <w:rsid w:val="00AA4E80"/>
    <w:rsid w:val="00AA6AA0"/>
    <w:rsid w:val="00AA7889"/>
    <w:rsid w:val="00AB29BB"/>
    <w:rsid w:val="00AB4239"/>
    <w:rsid w:val="00AB590A"/>
    <w:rsid w:val="00AB612E"/>
    <w:rsid w:val="00AB632B"/>
    <w:rsid w:val="00AC3C39"/>
    <w:rsid w:val="00AC6C77"/>
    <w:rsid w:val="00AD170C"/>
    <w:rsid w:val="00AD50E6"/>
    <w:rsid w:val="00AE37DF"/>
    <w:rsid w:val="00AE73C3"/>
    <w:rsid w:val="00AE7B52"/>
    <w:rsid w:val="00AF4118"/>
    <w:rsid w:val="00AF51F7"/>
    <w:rsid w:val="00AF77A5"/>
    <w:rsid w:val="00B00BB7"/>
    <w:rsid w:val="00B105C9"/>
    <w:rsid w:val="00B10B3A"/>
    <w:rsid w:val="00B1117E"/>
    <w:rsid w:val="00B116D8"/>
    <w:rsid w:val="00B176D4"/>
    <w:rsid w:val="00B223DA"/>
    <w:rsid w:val="00B247C9"/>
    <w:rsid w:val="00B26325"/>
    <w:rsid w:val="00B27404"/>
    <w:rsid w:val="00B27B49"/>
    <w:rsid w:val="00B41CEB"/>
    <w:rsid w:val="00B47037"/>
    <w:rsid w:val="00B47232"/>
    <w:rsid w:val="00B52413"/>
    <w:rsid w:val="00B53117"/>
    <w:rsid w:val="00B563FA"/>
    <w:rsid w:val="00B57317"/>
    <w:rsid w:val="00B673DA"/>
    <w:rsid w:val="00B7323F"/>
    <w:rsid w:val="00B74084"/>
    <w:rsid w:val="00B7431D"/>
    <w:rsid w:val="00B74379"/>
    <w:rsid w:val="00B74C5A"/>
    <w:rsid w:val="00B75A4C"/>
    <w:rsid w:val="00B75CF4"/>
    <w:rsid w:val="00B77EA0"/>
    <w:rsid w:val="00B84479"/>
    <w:rsid w:val="00B8624E"/>
    <w:rsid w:val="00B923C0"/>
    <w:rsid w:val="00B94C90"/>
    <w:rsid w:val="00BA0DA6"/>
    <w:rsid w:val="00BA6A88"/>
    <w:rsid w:val="00BA7F15"/>
    <w:rsid w:val="00BB0239"/>
    <w:rsid w:val="00BB735F"/>
    <w:rsid w:val="00BC2483"/>
    <w:rsid w:val="00BC3B3A"/>
    <w:rsid w:val="00BC5CBA"/>
    <w:rsid w:val="00BD3304"/>
    <w:rsid w:val="00BD351E"/>
    <w:rsid w:val="00BD754C"/>
    <w:rsid w:val="00BE6D9E"/>
    <w:rsid w:val="00BE76ED"/>
    <w:rsid w:val="00BF6688"/>
    <w:rsid w:val="00BF6C28"/>
    <w:rsid w:val="00BF7DE6"/>
    <w:rsid w:val="00C018FB"/>
    <w:rsid w:val="00C03B52"/>
    <w:rsid w:val="00C06ACC"/>
    <w:rsid w:val="00C070C9"/>
    <w:rsid w:val="00C102FE"/>
    <w:rsid w:val="00C16C2A"/>
    <w:rsid w:val="00C16E73"/>
    <w:rsid w:val="00C216E8"/>
    <w:rsid w:val="00C22CFA"/>
    <w:rsid w:val="00C273C0"/>
    <w:rsid w:val="00C4216E"/>
    <w:rsid w:val="00C44CD9"/>
    <w:rsid w:val="00C46BC3"/>
    <w:rsid w:val="00C534A8"/>
    <w:rsid w:val="00C57900"/>
    <w:rsid w:val="00C6289F"/>
    <w:rsid w:val="00C6332E"/>
    <w:rsid w:val="00C64AC6"/>
    <w:rsid w:val="00C64F21"/>
    <w:rsid w:val="00C655A7"/>
    <w:rsid w:val="00C663EA"/>
    <w:rsid w:val="00C730AB"/>
    <w:rsid w:val="00C75B64"/>
    <w:rsid w:val="00C76A39"/>
    <w:rsid w:val="00C8086B"/>
    <w:rsid w:val="00C92ECF"/>
    <w:rsid w:val="00C96934"/>
    <w:rsid w:val="00C97FEE"/>
    <w:rsid w:val="00CA5152"/>
    <w:rsid w:val="00CB278B"/>
    <w:rsid w:val="00CB44C9"/>
    <w:rsid w:val="00CB5200"/>
    <w:rsid w:val="00CB575F"/>
    <w:rsid w:val="00CE09D4"/>
    <w:rsid w:val="00CE61B5"/>
    <w:rsid w:val="00CF2948"/>
    <w:rsid w:val="00CF4DE7"/>
    <w:rsid w:val="00CF5886"/>
    <w:rsid w:val="00CF728C"/>
    <w:rsid w:val="00CF7859"/>
    <w:rsid w:val="00D0100C"/>
    <w:rsid w:val="00D02241"/>
    <w:rsid w:val="00D0341A"/>
    <w:rsid w:val="00D064E5"/>
    <w:rsid w:val="00D06DB6"/>
    <w:rsid w:val="00D11133"/>
    <w:rsid w:val="00D11841"/>
    <w:rsid w:val="00D1255F"/>
    <w:rsid w:val="00D1330E"/>
    <w:rsid w:val="00D14037"/>
    <w:rsid w:val="00D1476D"/>
    <w:rsid w:val="00D15180"/>
    <w:rsid w:val="00D24E4F"/>
    <w:rsid w:val="00D26AF9"/>
    <w:rsid w:val="00D32545"/>
    <w:rsid w:val="00D32BCF"/>
    <w:rsid w:val="00D33F0F"/>
    <w:rsid w:val="00D344BD"/>
    <w:rsid w:val="00D515E0"/>
    <w:rsid w:val="00D516BD"/>
    <w:rsid w:val="00D54BA3"/>
    <w:rsid w:val="00D551C9"/>
    <w:rsid w:val="00D5704D"/>
    <w:rsid w:val="00D62F07"/>
    <w:rsid w:val="00D63402"/>
    <w:rsid w:val="00D661BE"/>
    <w:rsid w:val="00D66A32"/>
    <w:rsid w:val="00D712CE"/>
    <w:rsid w:val="00D74E9C"/>
    <w:rsid w:val="00D85865"/>
    <w:rsid w:val="00D90762"/>
    <w:rsid w:val="00D91F17"/>
    <w:rsid w:val="00D955AA"/>
    <w:rsid w:val="00D9733E"/>
    <w:rsid w:val="00DA0A5F"/>
    <w:rsid w:val="00DA1F49"/>
    <w:rsid w:val="00DA20DD"/>
    <w:rsid w:val="00DA547E"/>
    <w:rsid w:val="00DB092C"/>
    <w:rsid w:val="00DB0E09"/>
    <w:rsid w:val="00DB2A0E"/>
    <w:rsid w:val="00DB3131"/>
    <w:rsid w:val="00DB3425"/>
    <w:rsid w:val="00DB6D25"/>
    <w:rsid w:val="00DC0764"/>
    <w:rsid w:val="00DC7043"/>
    <w:rsid w:val="00DD250A"/>
    <w:rsid w:val="00DD668F"/>
    <w:rsid w:val="00DE465D"/>
    <w:rsid w:val="00DF048A"/>
    <w:rsid w:val="00DF2C2A"/>
    <w:rsid w:val="00E00A02"/>
    <w:rsid w:val="00E035C0"/>
    <w:rsid w:val="00E0577D"/>
    <w:rsid w:val="00E06F11"/>
    <w:rsid w:val="00E07794"/>
    <w:rsid w:val="00E14A4E"/>
    <w:rsid w:val="00E163CA"/>
    <w:rsid w:val="00E17E8D"/>
    <w:rsid w:val="00E17EB5"/>
    <w:rsid w:val="00E20702"/>
    <w:rsid w:val="00E23A9F"/>
    <w:rsid w:val="00E24376"/>
    <w:rsid w:val="00E33940"/>
    <w:rsid w:val="00E346BF"/>
    <w:rsid w:val="00E36888"/>
    <w:rsid w:val="00E368D0"/>
    <w:rsid w:val="00E375E4"/>
    <w:rsid w:val="00E40831"/>
    <w:rsid w:val="00E41612"/>
    <w:rsid w:val="00E500B4"/>
    <w:rsid w:val="00E50D91"/>
    <w:rsid w:val="00E55012"/>
    <w:rsid w:val="00E62C2A"/>
    <w:rsid w:val="00E62FEF"/>
    <w:rsid w:val="00E652E3"/>
    <w:rsid w:val="00E66AA4"/>
    <w:rsid w:val="00E73099"/>
    <w:rsid w:val="00E7676B"/>
    <w:rsid w:val="00E774E7"/>
    <w:rsid w:val="00E77A76"/>
    <w:rsid w:val="00E857BF"/>
    <w:rsid w:val="00E95938"/>
    <w:rsid w:val="00E95CC7"/>
    <w:rsid w:val="00E96564"/>
    <w:rsid w:val="00EA03E7"/>
    <w:rsid w:val="00EA4CDF"/>
    <w:rsid w:val="00EA58EC"/>
    <w:rsid w:val="00EB1BD2"/>
    <w:rsid w:val="00EC06C3"/>
    <w:rsid w:val="00EC2DED"/>
    <w:rsid w:val="00EC3E2C"/>
    <w:rsid w:val="00EC58B2"/>
    <w:rsid w:val="00EC5B21"/>
    <w:rsid w:val="00EC7466"/>
    <w:rsid w:val="00ED1EA9"/>
    <w:rsid w:val="00ED4BD9"/>
    <w:rsid w:val="00ED4E92"/>
    <w:rsid w:val="00ED5948"/>
    <w:rsid w:val="00ED76DD"/>
    <w:rsid w:val="00EE106A"/>
    <w:rsid w:val="00EE10CA"/>
    <w:rsid w:val="00EE2C07"/>
    <w:rsid w:val="00EE3A0B"/>
    <w:rsid w:val="00EE415C"/>
    <w:rsid w:val="00EE686F"/>
    <w:rsid w:val="00EF04BE"/>
    <w:rsid w:val="00EF174E"/>
    <w:rsid w:val="00EF3F4F"/>
    <w:rsid w:val="00EF610D"/>
    <w:rsid w:val="00EF6B08"/>
    <w:rsid w:val="00F01877"/>
    <w:rsid w:val="00F02B04"/>
    <w:rsid w:val="00F04E9E"/>
    <w:rsid w:val="00F07856"/>
    <w:rsid w:val="00F1144E"/>
    <w:rsid w:val="00F11DAD"/>
    <w:rsid w:val="00F12006"/>
    <w:rsid w:val="00F14330"/>
    <w:rsid w:val="00F16715"/>
    <w:rsid w:val="00F17937"/>
    <w:rsid w:val="00F20A8B"/>
    <w:rsid w:val="00F266D7"/>
    <w:rsid w:val="00F42610"/>
    <w:rsid w:val="00F44825"/>
    <w:rsid w:val="00F4672F"/>
    <w:rsid w:val="00F47829"/>
    <w:rsid w:val="00F520A0"/>
    <w:rsid w:val="00F53639"/>
    <w:rsid w:val="00F57A93"/>
    <w:rsid w:val="00F65B9D"/>
    <w:rsid w:val="00F7049E"/>
    <w:rsid w:val="00F724A9"/>
    <w:rsid w:val="00F7793E"/>
    <w:rsid w:val="00F8101B"/>
    <w:rsid w:val="00FA11F1"/>
    <w:rsid w:val="00FB258D"/>
    <w:rsid w:val="00FB3EF9"/>
    <w:rsid w:val="00FC1A56"/>
    <w:rsid w:val="00FC2B66"/>
    <w:rsid w:val="00FC2D40"/>
    <w:rsid w:val="00FC3660"/>
    <w:rsid w:val="00FD1D60"/>
    <w:rsid w:val="00FD5480"/>
    <w:rsid w:val="00FE117F"/>
    <w:rsid w:val="00FE2E03"/>
    <w:rsid w:val="00FE4B75"/>
    <w:rsid w:val="00FE7233"/>
    <w:rsid w:val="00FF018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DFF7AE"/>
  <w15:chartTrackingRefBased/>
  <w15:docId w15:val="{B94E56B5-2EE8-43DF-A853-2135A96A7D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B278B"/>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Revision"/>
    <w:hidden/>
    <w:uiPriority w:val="99"/>
    <w:semiHidden/>
    <w:rsid w:val="00614CA0"/>
  </w:style>
  <w:style w:type="character" w:styleId="a4">
    <w:name w:val="Strong"/>
    <w:basedOn w:val="a0"/>
    <w:uiPriority w:val="22"/>
    <w:qFormat/>
    <w:rsid w:val="00D516BD"/>
    <w:rPr>
      <w:b/>
      <w:bCs/>
    </w:rPr>
  </w:style>
  <w:style w:type="character" w:styleId="a5">
    <w:name w:val="annotation reference"/>
    <w:basedOn w:val="a0"/>
    <w:uiPriority w:val="99"/>
    <w:semiHidden/>
    <w:unhideWhenUsed/>
    <w:rsid w:val="00260ADF"/>
    <w:rPr>
      <w:sz w:val="21"/>
      <w:szCs w:val="21"/>
    </w:rPr>
  </w:style>
  <w:style w:type="paragraph" w:styleId="a6">
    <w:name w:val="annotation text"/>
    <w:basedOn w:val="a"/>
    <w:link w:val="a7"/>
    <w:uiPriority w:val="99"/>
    <w:semiHidden/>
    <w:unhideWhenUsed/>
    <w:rsid w:val="00260ADF"/>
    <w:pPr>
      <w:jc w:val="left"/>
    </w:pPr>
    <w:rPr>
      <w:rFonts w:asciiTheme="minorHAnsi" w:eastAsiaTheme="minorEastAsia" w:hAnsiTheme="minorHAnsi"/>
    </w:rPr>
  </w:style>
  <w:style w:type="character" w:customStyle="1" w:styleId="a7">
    <w:name w:val="批注文字 字符"/>
    <w:basedOn w:val="a0"/>
    <w:link w:val="a6"/>
    <w:uiPriority w:val="99"/>
    <w:semiHidden/>
    <w:rsid w:val="00260ADF"/>
    <w:rPr>
      <w:rFonts w:asciiTheme="minorHAnsi" w:eastAsiaTheme="minorEastAsia" w:hAnsiTheme="minorHAnsi"/>
    </w:rPr>
  </w:style>
  <w:style w:type="paragraph" w:styleId="a8">
    <w:name w:val="Bibliography"/>
    <w:basedOn w:val="a"/>
    <w:next w:val="a"/>
    <w:uiPriority w:val="37"/>
    <w:unhideWhenUsed/>
    <w:rsid w:val="00260ADF"/>
    <w:pPr>
      <w:tabs>
        <w:tab w:val="left" w:pos="384"/>
      </w:tabs>
      <w:spacing w:after="240"/>
      <w:ind w:left="384" w:hanging="384"/>
    </w:pPr>
  </w:style>
  <w:style w:type="paragraph" w:styleId="a9">
    <w:name w:val="annotation subject"/>
    <w:basedOn w:val="a6"/>
    <w:next w:val="a6"/>
    <w:link w:val="aa"/>
    <w:uiPriority w:val="99"/>
    <w:semiHidden/>
    <w:unhideWhenUsed/>
    <w:rsid w:val="00F57A93"/>
    <w:rPr>
      <w:rFonts w:ascii="Times New Roman" w:eastAsia="宋体" w:hAnsi="Times New Roman"/>
      <w:b/>
      <w:bCs/>
    </w:rPr>
  </w:style>
  <w:style w:type="character" w:customStyle="1" w:styleId="aa">
    <w:name w:val="批注主题 字符"/>
    <w:basedOn w:val="a7"/>
    <w:link w:val="a9"/>
    <w:uiPriority w:val="99"/>
    <w:semiHidden/>
    <w:rsid w:val="00F57A93"/>
    <w:rPr>
      <w:rFonts w:asciiTheme="minorHAnsi" w:eastAsiaTheme="minorEastAsia" w:hAnsiTheme="minorHAnsi"/>
      <w:b/>
      <w:bCs/>
    </w:rPr>
  </w:style>
  <w:style w:type="character" w:styleId="ab">
    <w:name w:val="Hyperlink"/>
    <w:uiPriority w:val="99"/>
    <w:unhideWhenUsed/>
    <w:rsid w:val="00556D97"/>
    <w:rPr>
      <w:color w:val="0563C1"/>
      <w:u w:val="single"/>
    </w:rPr>
  </w:style>
  <w:style w:type="paragraph" w:customStyle="1" w:styleId="Correspondencedetails">
    <w:name w:val="Correspondence details"/>
    <w:basedOn w:val="a"/>
    <w:qFormat/>
    <w:rsid w:val="00556D97"/>
    <w:pPr>
      <w:widowControl/>
      <w:spacing w:before="240" w:line="360" w:lineRule="auto"/>
      <w:jc w:val="left"/>
    </w:pPr>
    <w:rPr>
      <w:rFonts w:eastAsia="等线" w:cs="Times New Roman"/>
      <w:kern w:val="0"/>
      <w:sz w:val="24"/>
      <w:szCs w:val="24"/>
      <w:lang w:val="en-GB" w:eastAsia="en-GB"/>
    </w:rPr>
  </w:style>
  <w:style w:type="character" w:customStyle="1" w:styleId="highlight">
    <w:name w:val="highlight"/>
    <w:basedOn w:val="a0"/>
    <w:rsid w:val="00556D97"/>
  </w:style>
  <w:style w:type="character" w:customStyle="1" w:styleId="1">
    <w:name w:val="未处理的提及1"/>
    <w:basedOn w:val="a0"/>
    <w:uiPriority w:val="99"/>
    <w:semiHidden/>
    <w:unhideWhenUsed/>
    <w:rsid w:val="00556D97"/>
    <w:rPr>
      <w:color w:val="605E5C"/>
      <w:shd w:val="clear" w:color="auto" w:fill="E1DFDD"/>
    </w:rPr>
  </w:style>
  <w:style w:type="paragraph" w:styleId="ac">
    <w:name w:val="Balloon Text"/>
    <w:basedOn w:val="a"/>
    <w:link w:val="ad"/>
    <w:uiPriority w:val="99"/>
    <w:semiHidden/>
    <w:unhideWhenUsed/>
    <w:rsid w:val="00E33940"/>
    <w:rPr>
      <w:sz w:val="18"/>
      <w:szCs w:val="18"/>
    </w:rPr>
  </w:style>
  <w:style w:type="character" w:customStyle="1" w:styleId="ad">
    <w:name w:val="批注框文本 字符"/>
    <w:basedOn w:val="a0"/>
    <w:link w:val="ac"/>
    <w:uiPriority w:val="99"/>
    <w:semiHidden/>
    <w:rsid w:val="00E33940"/>
    <w:rPr>
      <w:sz w:val="18"/>
      <w:szCs w:val="18"/>
    </w:rPr>
  </w:style>
  <w:style w:type="character" w:customStyle="1" w:styleId="Char">
    <w:name w:val="批注框文本 Char"/>
    <w:uiPriority w:val="99"/>
    <w:semiHidden/>
    <w:rsid w:val="00A525DC"/>
    <w:rPr>
      <w:sz w:val="18"/>
      <w:szCs w:val="18"/>
    </w:rPr>
  </w:style>
  <w:style w:type="character" w:customStyle="1" w:styleId="fontstyle01">
    <w:name w:val="fontstyle01"/>
    <w:rsid w:val="00A525DC"/>
    <w:rPr>
      <w:rFonts w:ascii="Times New Roman" w:hAnsi="Times New Roman" w:cs="Times New Roman" w:hint="default"/>
      <w:b/>
      <w:bCs/>
      <w:i w:val="0"/>
      <w:iCs w:val="0"/>
      <w:color w:val="000000"/>
      <w:sz w:val="24"/>
      <w:szCs w:val="24"/>
    </w:rPr>
  </w:style>
  <w:style w:type="character" w:customStyle="1" w:styleId="fontstyle21">
    <w:name w:val="fontstyle21"/>
    <w:rsid w:val="00A525DC"/>
    <w:rPr>
      <w:rFonts w:ascii="Times New Roman" w:hAnsi="Times New Roman" w:cs="Times New Roman" w:hint="default"/>
      <w:b w:val="0"/>
      <w:bCs w:val="0"/>
      <w:i w:val="0"/>
      <w:iCs w:val="0"/>
      <w:color w:val="000000"/>
      <w:sz w:val="24"/>
      <w:szCs w:val="24"/>
    </w:rPr>
  </w:style>
  <w:style w:type="paragraph" w:styleId="ae">
    <w:name w:val="Normal (Web)"/>
    <w:basedOn w:val="a"/>
    <w:uiPriority w:val="99"/>
    <w:unhideWhenUsed/>
    <w:qFormat/>
    <w:rsid w:val="00A525DC"/>
    <w:pPr>
      <w:widowControl/>
      <w:spacing w:before="100" w:beforeAutospacing="1" w:after="100" w:afterAutospacing="1"/>
      <w:jc w:val="left"/>
    </w:pPr>
    <w:rPr>
      <w:rFonts w:ascii="宋体" w:hAnsi="宋体" w:cs="宋体"/>
      <w:kern w:val="0"/>
      <w:sz w:val="24"/>
      <w:szCs w:val="24"/>
    </w:rPr>
  </w:style>
  <w:style w:type="character" w:customStyle="1" w:styleId="2">
    <w:name w:val="未处理的提及2"/>
    <w:basedOn w:val="a0"/>
    <w:uiPriority w:val="99"/>
    <w:semiHidden/>
    <w:unhideWhenUsed/>
    <w:rsid w:val="000D3F7B"/>
    <w:rPr>
      <w:color w:val="605E5C"/>
      <w:shd w:val="clear" w:color="auto" w:fill="E1DFDD"/>
    </w:rPr>
  </w:style>
  <w:style w:type="table" w:styleId="af">
    <w:name w:val="Table Grid"/>
    <w:basedOn w:val="a1"/>
    <w:uiPriority w:val="39"/>
    <w:qFormat/>
    <w:rsid w:val="00EC58B2"/>
    <w:rPr>
      <w:rFonts w:asciiTheme="minorHAnsi" w:eastAsiaTheme="minorEastAsia"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List Paragraph"/>
    <w:basedOn w:val="a"/>
    <w:uiPriority w:val="34"/>
    <w:qFormat/>
    <w:rsid w:val="00407DAE"/>
    <w:pPr>
      <w:ind w:firstLineChars="200" w:firstLine="420"/>
    </w:pPr>
  </w:style>
  <w:style w:type="character" w:styleId="af1">
    <w:name w:val="line number"/>
    <w:basedOn w:val="a0"/>
    <w:uiPriority w:val="99"/>
    <w:semiHidden/>
    <w:unhideWhenUsed/>
    <w:rsid w:val="00687DAC"/>
  </w:style>
  <w:style w:type="paragraph" w:styleId="af2">
    <w:name w:val="header"/>
    <w:basedOn w:val="a"/>
    <w:link w:val="af3"/>
    <w:uiPriority w:val="99"/>
    <w:unhideWhenUsed/>
    <w:rsid w:val="00705D47"/>
    <w:pPr>
      <w:pBdr>
        <w:bottom w:val="single" w:sz="6" w:space="1" w:color="auto"/>
      </w:pBdr>
      <w:tabs>
        <w:tab w:val="center" w:pos="4153"/>
        <w:tab w:val="right" w:pos="8306"/>
      </w:tabs>
      <w:snapToGrid w:val="0"/>
      <w:jc w:val="center"/>
    </w:pPr>
    <w:rPr>
      <w:sz w:val="18"/>
      <w:szCs w:val="18"/>
    </w:rPr>
  </w:style>
  <w:style w:type="character" w:customStyle="1" w:styleId="af3">
    <w:name w:val="页眉 字符"/>
    <w:basedOn w:val="a0"/>
    <w:link w:val="af2"/>
    <w:uiPriority w:val="99"/>
    <w:rsid w:val="00705D47"/>
    <w:rPr>
      <w:sz w:val="18"/>
      <w:szCs w:val="18"/>
    </w:rPr>
  </w:style>
  <w:style w:type="paragraph" w:styleId="af4">
    <w:name w:val="footer"/>
    <w:basedOn w:val="a"/>
    <w:link w:val="af5"/>
    <w:uiPriority w:val="99"/>
    <w:unhideWhenUsed/>
    <w:rsid w:val="00705D47"/>
    <w:pPr>
      <w:tabs>
        <w:tab w:val="center" w:pos="4153"/>
        <w:tab w:val="right" w:pos="8306"/>
      </w:tabs>
      <w:snapToGrid w:val="0"/>
      <w:jc w:val="left"/>
    </w:pPr>
    <w:rPr>
      <w:sz w:val="18"/>
      <w:szCs w:val="18"/>
    </w:rPr>
  </w:style>
  <w:style w:type="character" w:customStyle="1" w:styleId="af5">
    <w:name w:val="页脚 字符"/>
    <w:basedOn w:val="a0"/>
    <w:link w:val="af4"/>
    <w:uiPriority w:val="99"/>
    <w:rsid w:val="00705D47"/>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097673">
      <w:bodyDiv w:val="1"/>
      <w:marLeft w:val="0"/>
      <w:marRight w:val="0"/>
      <w:marTop w:val="0"/>
      <w:marBottom w:val="0"/>
      <w:divBdr>
        <w:top w:val="none" w:sz="0" w:space="0" w:color="auto"/>
        <w:left w:val="none" w:sz="0" w:space="0" w:color="auto"/>
        <w:bottom w:val="none" w:sz="0" w:space="0" w:color="auto"/>
        <w:right w:val="none" w:sz="0" w:space="0" w:color="auto"/>
      </w:divBdr>
      <w:divsChild>
        <w:div w:id="1795632045">
          <w:marLeft w:val="0"/>
          <w:marRight w:val="0"/>
          <w:marTop w:val="0"/>
          <w:marBottom w:val="0"/>
          <w:divBdr>
            <w:top w:val="none" w:sz="0" w:space="0" w:color="auto"/>
            <w:left w:val="none" w:sz="0" w:space="0" w:color="auto"/>
            <w:bottom w:val="none" w:sz="0" w:space="0" w:color="auto"/>
            <w:right w:val="none" w:sz="0" w:space="0" w:color="auto"/>
          </w:divBdr>
        </w:div>
        <w:div w:id="418524838">
          <w:marLeft w:val="0"/>
          <w:marRight w:val="0"/>
          <w:marTop w:val="0"/>
          <w:marBottom w:val="0"/>
          <w:divBdr>
            <w:top w:val="none" w:sz="0" w:space="0" w:color="auto"/>
            <w:left w:val="none" w:sz="0" w:space="0" w:color="auto"/>
            <w:bottom w:val="none" w:sz="0" w:space="0" w:color="auto"/>
            <w:right w:val="none" w:sz="0" w:space="0" w:color="auto"/>
          </w:divBdr>
        </w:div>
        <w:div w:id="540097317">
          <w:marLeft w:val="0"/>
          <w:marRight w:val="0"/>
          <w:marTop w:val="0"/>
          <w:marBottom w:val="0"/>
          <w:divBdr>
            <w:top w:val="none" w:sz="0" w:space="0" w:color="auto"/>
            <w:left w:val="none" w:sz="0" w:space="0" w:color="auto"/>
            <w:bottom w:val="none" w:sz="0" w:space="0" w:color="auto"/>
            <w:right w:val="none" w:sz="0" w:space="0" w:color="auto"/>
          </w:divBdr>
        </w:div>
        <w:div w:id="568730686">
          <w:marLeft w:val="0"/>
          <w:marRight w:val="0"/>
          <w:marTop w:val="0"/>
          <w:marBottom w:val="0"/>
          <w:divBdr>
            <w:top w:val="none" w:sz="0" w:space="0" w:color="auto"/>
            <w:left w:val="none" w:sz="0" w:space="0" w:color="auto"/>
            <w:bottom w:val="none" w:sz="0" w:space="0" w:color="auto"/>
            <w:right w:val="none" w:sz="0" w:space="0" w:color="auto"/>
          </w:divBdr>
        </w:div>
        <w:div w:id="3677282">
          <w:marLeft w:val="0"/>
          <w:marRight w:val="0"/>
          <w:marTop w:val="0"/>
          <w:marBottom w:val="0"/>
          <w:divBdr>
            <w:top w:val="none" w:sz="0" w:space="0" w:color="auto"/>
            <w:left w:val="none" w:sz="0" w:space="0" w:color="auto"/>
            <w:bottom w:val="none" w:sz="0" w:space="0" w:color="auto"/>
            <w:right w:val="none" w:sz="0" w:space="0" w:color="auto"/>
          </w:divBdr>
        </w:div>
        <w:div w:id="1598446556">
          <w:marLeft w:val="0"/>
          <w:marRight w:val="0"/>
          <w:marTop w:val="0"/>
          <w:marBottom w:val="0"/>
          <w:divBdr>
            <w:top w:val="none" w:sz="0" w:space="0" w:color="auto"/>
            <w:left w:val="none" w:sz="0" w:space="0" w:color="auto"/>
            <w:bottom w:val="none" w:sz="0" w:space="0" w:color="auto"/>
            <w:right w:val="none" w:sz="0" w:space="0" w:color="auto"/>
          </w:divBdr>
        </w:div>
        <w:div w:id="958993470">
          <w:marLeft w:val="0"/>
          <w:marRight w:val="0"/>
          <w:marTop w:val="0"/>
          <w:marBottom w:val="0"/>
          <w:divBdr>
            <w:top w:val="none" w:sz="0" w:space="0" w:color="auto"/>
            <w:left w:val="none" w:sz="0" w:space="0" w:color="auto"/>
            <w:bottom w:val="none" w:sz="0" w:space="0" w:color="auto"/>
            <w:right w:val="none" w:sz="0" w:space="0" w:color="auto"/>
          </w:divBdr>
        </w:div>
      </w:divsChild>
    </w:div>
    <w:div w:id="211582249">
      <w:bodyDiv w:val="1"/>
      <w:marLeft w:val="0"/>
      <w:marRight w:val="0"/>
      <w:marTop w:val="0"/>
      <w:marBottom w:val="0"/>
      <w:divBdr>
        <w:top w:val="none" w:sz="0" w:space="0" w:color="auto"/>
        <w:left w:val="none" w:sz="0" w:space="0" w:color="auto"/>
        <w:bottom w:val="none" w:sz="0" w:space="0" w:color="auto"/>
        <w:right w:val="none" w:sz="0" w:space="0" w:color="auto"/>
      </w:divBdr>
    </w:div>
    <w:div w:id="1247766436">
      <w:bodyDiv w:val="1"/>
      <w:marLeft w:val="0"/>
      <w:marRight w:val="0"/>
      <w:marTop w:val="0"/>
      <w:marBottom w:val="0"/>
      <w:divBdr>
        <w:top w:val="none" w:sz="0" w:space="0" w:color="auto"/>
        <w:left w:val="none" w:sz="0" w:space="0" w:color="auto"/>
        <w:bottom w:val="none" w:sz="0" w:space="0" w:color="auto"/>
        <w:right w:val="none" w:sz="0" w:space="0" w:color="auto"/>
      </w:divBdr>
    </w:div>
    <w:div w:id="1802141489">
      <w:bodyDiv w:val="1"/>
      <w:marLeft w:val="0"/>
      <w:marRight w:val="0"/>
      <w:marTop w:val="0"/>
      <w:marBottom w:val="0"/>
      <w:divBdr>
        <w:top w:val="none" w:sz="0" w:space="0" w:color="auto"/>
        <w:left w:val="none" w:sz="0" w:space="0" w:color="auto"/>
        <w:bottom w:val="none" w:sz="0" w:space="0" w:color="auto"/>
        <w:right w:val="none" w:sz="0" w:space="0" w:color="auto"/>
      </w:divBdr>
    </w:div>
    <w:div w:id="1895578371">
      <w:bodyDiv w:val="1"/>
      <w:marLeft w:val="0"/>
      <w:marRight w:val="0"/>
      <w:marTop w:val="0"/>
      <w:marBottom w:val="0"/>
      <w:divBdr>
        <w:top w:val="none" w:sz="0" w:space="0" w:color="auto"/>
        <w:left w:val="none" w:sz="0" w:space="0" w:color="auto"/>
        <w:bottom w:val="none" w:sz="0" w:space="0" w:color="auto"/>
        <w:right w:val="none" w:sz="0" w:space="0" w:color="auto"/>
      </w:divBdr>
      <w:divsChild>
        <w:div w:id="99977149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843C82-FEEB-4CBE-95A8-C58BD6078C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3</Pages>
  <Words>820</Words>
  <Characters>4676</Characters>
  <Application>Microsoft Office Word</Application>
  <DocSecurity>0</DocSecurity>
  <Lines>38</Lines>
  <Paragraphs>10</Paragraphs>
  <ScaleCrop>false</ScaleCrop>
  <Company/>
  <LinksUpToDate>false</LinksUpToDate>
  <CharactersWithSpaces>5486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段 娜敏</dc:creator>
  <cp:keywords/>
  <dc:description/>
  <cp:lastModifiedBy>晓慧 胡</cp:lastModifiedBy>
  <cp:revision>6</cp:revision>
  <dcterms:created xsi:type="dcterms:W3CDTF">2023-04-11T09:44:00Z</dcterms:created>
  <dcterms:modified xsi:type="dcterms:W3CDTF">2023-08-03T14:36:00Z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008040d52f086834238394a9a3aac5ccb7f32d459ea4c06fac3a238556ead7a1</vt:lpwstr>
  </property>
  <property fmtid="{D5CDD505-2E9C-101B-9397-08002B2CF9AE}" pid="3" name="ZOTERO_PREF_1">
    <vt:lpwstr>&lt;data data-version="3" zotero-version="6.0.23"&gt;&lt;session id="VYA6D7Kh"/&gt;&lt;style id="http://www.zotero.org/styles/cell-death-and-disease" hasBibliography="1" bibliographyStyleHasBeenSet="1"/&gt;&lt;prefs&gt;&lt;pref name="fieldType" value="Field"/&gt;&lt;/prefs&gt;&lt;/data&gt;</vt:lpwstr>
  </property>
</Properties>
</file>