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jc w:val="both"/>
        <w:rPr>
          <w:i w:val="1"/>
          <w:color w:val="000000"/>
          <w:sz w:val="24"/>
          <w:szCs w:val="24"/>
        </w:rPr>
      </w:pPr>
      <w:r w:rsidDel="00000000" w:rsidR="00000000" w:rsidRPr="00000000">
        <w:rPr>
          <w:rtl w:val="0"/>
        </w:rPr>
      </w:r>
    </w:p>
    <w:p w:rsidR="00000000" w:rsidDel="00000000" w:rsidP="00000000" w:rsidRDefault="00000000" w:rsidRPr="00000000" w14:paraId="00000002">
      <w:pPr>
        <w:widowControl w:val="0"/>
        <w:spacing w:line="240" w:lineRule="auto"/>
        <w:jc w:val="both"/>
        <w:rPr>
          <w:i w:val="1"/>
          <w:color w:val="000000"/>
          <w:sz w:val="24"/>
          <w:szCs w:val="24"/>
        </w:rPr>
      </w:pPr>
      <w:r w:rsidDel="00000000" w:rsidR="00000000" w:rsidRPr="00000000">
        <w:rPr>
          <w:rtl w:val="0"/>
        </w:rPr>
      </w:r>
    </w:p>
    <w:p w:rsidR="00000000" w:rsidDel="00000000" w:rsidP="00000000" w:rsidRDefault="00000000" w:rsidRPr="00000000" w14:paraId="00000003">
      <w:pPr>
        <w:spacing w:line="240" w:lineRule="auto"/>
        <w:jc w:val="center"/>
        <w:rPr>
          <w:b w:val="1"/>
          <w:i w:val="1"/>
          <w:color w:val="000000"/>
          <w:sz w:val="32"/>
          <w:szCs w:val="32"/>
        </w:rPr>
      </w:pPr>
      <w:r w:rsidDel="00000000" w:rsidR="00000000" w:rsidRPr="00000000">
        <w:rPr>
          <w:b w:val="1"/>
          <w:i w:val="1"/>
          <w:color w:val="000000"/>
          <w:sz w:val="32"/>
          <w:szCs w:val="32"/>
          <w:rtl w:val="0"/>
        </w:rPr>
        <w:t xml:space="preserve">Supplementary Information: Detailed Methods</w:t>
      </w:r>
    </w:p>
    <w:p w:rsidR="00000000" w:rsidDel="00000000" w:rsidP="00000000" w:rsidRDefault="00000000" w:rsidRPr="00000000" w14:paraId="00000004">
      <w:pPr>
        <w:spacing w:line="240" w:lineRule="auto"/>
        <w:jc w:val="center"/>
        <w:rPr>
          <w:rFonts w:ascii="AdvOT46dcae81" w:cs="AdvOT46dcae81" w:eastAsia="AdvOT46dcae81" w:hAnsi="AdvOT46dcae81"/>
          <w:b w:val="1"/>
          <w:sz w:val="18"/>
          <w:szCs w:val="18"/>
        </w:rPr>
      </w:pPr>
      <w:r w:rsidDel="00000000" w:rsidR="00000000" w:rsidRPr="00000000">
        <w:rPr>
          <w:rtl w:val="0"/>
        </w:rPr>
      </w:r>
    </w:p>
    <w:p w:rsidR="00000000" w:rsidDel="00000000" w:rsidP="00000000" w:rsidRDefault="00000000" w:rsidRPr="00000000" w14:paraId="00000005">
      <w:pPr>
        <w:widowControl w:val="0"/>
        <w:spacing w:line="240" w:lineRule="auto"/>
        <w:jc w:val="center"/>
        <w:rPr>
          <w:b w:val="1"/>
          <w:sz w:val="28"/>
          <w:szCs w:val="28"/>
        </w:rPr>
      </w:pPr>
      <w:r w:rsidDel="00000000" w:rsidR="00000000" w:rsidRPr="00000000">
        <w:rPr>
          <w:rtl w:val="0"/>
        </w:rPr>
      </w:r>
    </w:p>
    <w:p w:rsidR="00000000" w:rsidDel="00000000" w:rsidP="00000000" w:rsidRDefault="00000000" w:rsidRPr="00000000" w14:paraId="00000006">
      <w:pPr>
        <w:widowControl w:val="0"/>
        <w:spacing w:line="240" w:lineRule="auto"/>
        <w:rPr>
          <w:i w:val="1"/>
          <w:color w:val="0070c0"/>
          <w:sz w:val="28"/>
          <w:szCs w:val="28"/>
        </w:rPr>
      </w:pPr>
      <w:r w:rsidDel="00000000" w:rsidR="00000000" w:rsidRPr="00000000">
        <w:rPr>
          <w:b w:val="1"/>
          <w:color w:val="0070c0"/>
          <w:sz w:val="28"/>
          <w:szCs w:val="28"/>
          <w:rtl w:val="0"/>
        </w:rPr>
        <w:t xml:space="preserve">Single-cell transcriptional landscape of long non-coding RNAs orchestrating mouse heart development</w:t>
      </w:r>
      <w:r w:rsidDel="00000000" w:rsidR="00000000" w:rsidRPr="00000000">
        <w:rPr>
          <w:rtl w:val="0"/>
        </w:rPr>
      </w:r>
    </w:p>
    <w:p w:rsidR="00000000" w:rsidDel="00000000" w:rsidP="00000000" w:rsidRDefault="00000000" w:rsidRPr="00000000" w14:paraId="00000007">
      <w:pPr>
        <w:widowControl w:val="0"/>
        <w:spacing w:line="240" w:lineRule="auto"/>
        <w:ind w:left="141" w:firstLine="0"/>
        <w:rPr>
          <w:sz w:val="24"/>
          <w:szCs w:val="24"/>
        </w:rPr>
      </w:pPr>
      <w:r w:rsidDel="00000000" w:rsidR="00000000" w:rsidRPr="00000000">
        <w:rPr>
          <w:rtl w:val="0"/>
        </w:rPr>
      </w:r>
    </w:p>
    <w:p w:rsidR="00000000" w:rsidDel="00000000" w:rsidP="00000000" w:rsidRDefault="00000000" w:rsidRPr="00000000" w14:paraId="00000008">
      <w:pPr>
        <w:widowControl w:val="0"/>
        <w:spacing w:line="240" w:lineRule="auto"/>
        <w:jc w:val="both"/>
        <w:rPr>
          <w:b w:val="1"/>
          <w:sz w:val="24"/>
          <w:szCs w:val="24"/>
        </w:rPr>
      </w:pPr>
      <w:r w:rsidDel="00000000" w:rsidR="00000000" w:rsidRPr="00000000">
        <w:rPr>
          <w:b w:val="1"/>
          <w:sz w:val="24"/>
          <w:szCs w:val="24"/>
          <w:rtl w:val="0"/>
        </w:rPr>
        <w:t xml:space="preserve">Thaís A. R. Ramos</w:t>
      </w:r>
      <w:r w:rsidDel="00000000" w:rsidR="00000000" w:rsidRPr="00000000">
        <w:rPr>
          <w:b w:val="1"/>
          <w:sz w:val="24"/>
          <w:szCs w:val="24"/>
          <w:vertAlign w:val="superscript"/>
          <w:rtl w:val="0"/>
        </w:rPr>
        <w:t xml:space="preserve">1,2,3</w:t>
      </w:r>
      <w:r w:rsidDel="00000000" w:rsidR="00000000" w:rsidRPr="00000000">
        <w:rPr>
          <w:b w:val="1"/>
          <w:sz w:val="24"/>
          <w:szCs w:val="24"/>
          <w:rtl w:val="0"/>
        </w:rPr>
        <w:t xml:space="preserve">, Sebastián Urquiza-Zurich</w:t>
      </w:r>
      <w:r w:rsidDel="00000000" w:rsidR="00000000" w:rsidRPr="00000000">
        <w:rPr>
          <w:b w:val="1"/>
          <w:sz w:val="24"/>
          <w:szCs w:val="24"/>
          <w:vertAlign w:val="superscript"/>
          <w:rtl w:val="0"/>
        </w:rPr>
        <w:t xml:space="preserve">1</w:t>
      </w:r>
      <w:r w:rsidDel="00000000" w:rsidR="00000000" w:rsidRPr="00000000">
        <w:rPr>
          <w:b w:val="1"/>
          <w:sz w:val="24"/>
          <w:szCs w:val="24"/>
          <w:rtl w:val="0"/>
        </w:rPr>
        <w:t xml:space="preserve">, Soo Young Kim</w:t>
      </w:r>
      <w:r w:rsidDel="00000000" w:rsidR="00000000" w:rsidRPr="00000000">
        <w:rPr>
          <w:b w:val="1"/>
          <w:sz w:val="24"/>
          <w:szCs w:val="24"/>
          <w:vertAlign w:val="superscript"/>
          <w:rtl w:val="0"/>
        </w:rPr>
        <w:t xml:space="preserve">4</w:t>
      </w:r>
      <w:r w:rsidDel="00000000" w:rsidR="00000000" w:rsidRPr="00000000">
        <w:rPr>
          <w:b w:val="1"/>
          <w:sz w:val="24"/>
          <w:szCs w:val="24"/>
          <w:rtl w:val="0"/>
        </w:rPr>
        <w:t xml:space="preserve">, </w:t>
      </w:r>
    </w:p>
    <w:p w:rsidR="00000000" w:rsidDel="00000000" w:rsidP="00000000" w:rsidRDefault="00000000" w:rsidRPr="00000000" w14:paraId="00000009">
      <w:pPr>
        <w:widowControl w:val="0"/>
        <w:spacing w:line="240" w:lineRule="auto"/>
        <w:jc w:val="both"/>
        <w:rPr>
          <w:b w:val="1"/>
          <w:sz w:val="24"/>
          <w:szCs w:val="24"/>
        </w:rPr>
      </w:pPr>
      <w:r w:rsidDel="00000000" w:rsidR="00000000" w:rsidRPr="00000000">
        <w:rPr>
          <w:b w:val="1"/>
          <w:sz w:val="24"/>
          <w:szCs w:val="24"/>
          <w:rtl w:val="0"/>
        </w:rPr>
        <w:t xml:space="preserve">Thomas G. Gillette</w:t>
      </w:r>
      <w:r w:rsidDel="00000000" w:rsidR="00000000" w:rsidRPr="00000000">
        <w:rPr>
          <w:b w:val="1"/>
          <w:sz w:val="24"/>
          <w:szCs w:val="24"/>
          <w:vertAlign w:val="superscript"/>
          <w:rtl w:val="0"/>
        </w:rPr>
        <w:t xml:space="preserve">4</w:t>
      </w:r>
      <w:r w:rsidDel="00000000" w:rsidR="00000000" w:rsidRPr="00000000">
        <w:rPr>
          <w:b w:val="1"/>
          <w:sz w:val="24"/>
          <w:szCs w:val="24"/>
          <w:rtl w:val="0"/>
        </w:rPr>
        <w:t xml:space="preserve">, Joseph A. Hill</w:t>
      </w:r>
      <w:r w:rsidDel="00000000" w:rsidR="00000000" w:rsidRPr="00000000">
        <w:rPr>
          <w:b w:val="1"/>
          <w:sz w:val="24"/>
          <w:szCs w:val="24"/>
          <w:vertAlign w:val="superscript"/>
          <w:rtl w:val="0"/>
        </w:rPr>
        <w:t xml:space="preserve">4,5</w:t>
      </w:r>
      <w:r w:rsidDel="00000000" w:rsidR="00000000" w:rsidRPr="00000000">
        <w:rPr>
          <w:b w:val="1"/>
          <w:sz w:val="24"/>
          <w:szCs w:val="24"/>
          <w:rtl w:val="0"/>
        </w:rPr>
        <w:t xml:space="preserve">, Sergio Lavandero</w:t>
      </w:r>
      <w:r w:rsidDel="00000000" w:rsidR="00000000" w:rsidRPr="00000000">
        <w:rPr>
          <w:b w:val="1"/>
          <w:sz w:val="24"/>
          <w:szCs w:val="24"/>
          <w:vertAlign w:val="superscript"/>
          <w:rtl w:val="0"/>
        </w:rPr>
        <w:t xml:space="preserve">1,6,*</w:t>
      </w:r>
      <w:r w:rsidDel="00000000" w:rsidR="00000000" w:rsidRPr="00000000">
        <w:rPr>
          <w:b w:val="1"/>
          <w:sz w:val="24"/>
          <w:szCs w:val="24"/>
          <w:rtl w:val="0"/>
        </w:rPr>
        <w:t xml:space="preserve">, </w:t>
      </w:r>
    </w:p>
    <w:p w:rsidR="00000000" w:rsidDel="00000000" w:rsidP="00000000" w:rsidRDefault="00000000" w:rsidRPr="00000000" w14:paraId="0000000A">
      <w:pPr>
        <w:widowControl w:val="0"/>
        <w:spacing w:line="240" w:lineRule="auto"/>
        <w:jc w:val="both"/>
        <w:rPr>
          <w:b w:val="1"/>
          <w:sz w:val="24"/>
          <w:szCs w:val="24"/>
          <w:vertAlign w:val="superscript"/>
        </w:rPr>
      </w:pPr>
      <w:r w:rsidDel="00000000" w:rsidR="00000000" w:rsidRPr="00000000">
        <w:rPr>
          <w:b w:val="1"/>
          <w:sz w:val="24"/>
          <w:szCs w:val="24"/>
          <w:rtl w:val="0"/>
        </w:rPr>
        <w:t xml:space="preserve">Thaís G. do Rêgo</w:t>
      </w:r>
      <w:r w:rsidDel="00000000" w:rsidR="00000000" w:rsidRPr="00000000">
        <w:rPr>
          <w:b w:val="1"/>
          <w:sz w:val="24"/>
          <w:szCs w:val="24"/>
          <w:vertAlign w:val="superscript"/>
          <w:rtl w:val="0"/>
        </w:rPr>
        <w:t xml:space="preserve">2,3,*</w:t>
      </w:r>
      <w:r w:rsidDel="00000000" w:rsidR="00000000" w:rsidRPr="00000000">
        <w:rPr>
          <w:b w:val="1"/>
          <w:sz w:val="24"/>
          <w:szCs w:val="24"/>
          <w:rtl w:val="0"/>
        </w:rPr>
        <w:t xml:space="preserve"> and  Vinicius Maracaja-Coutinho</w:t>
      </w:r>
      <w:r w:rsidDel="00000000" w:rsidR="00000000" w:rsidRPr="00000000">
        <w:rPr>
          <w:b w:val="1"/>
          <w:sz w:val="24"/>
          <w:szCs w:val="24"/>
          <w:vertAlign w:val="superscript"/>
          <w:rtl w:val="0"/>
        </w:rPr>
        <w:t xml:space="preserve">1,2,*</w:t>
      </w:r>
    </w:p>
    <w:p w:rsidR="00000000" w:rsidDel="00000000" w:rsidP="00000000" w:rsidRDefault="00000000" w:rsidRPr="00000000" w14:paraId="0000000B">
      <w:pPr>
        <w:widowControl w:val="0"/>
        <w:spacing w:line="240" w:lineRule="auto"/>
        <w:jc w:val="center"/>
        <w:rPr>
          <w:b w:val="1"/>
          <w:sz w:val="24"/>
          <w:szCs w:val="24"/>
          <w:vertAlign w:val="superscript"/>
        </w:rPr>
      </w:pPr>
      <w:r w:rsidDel="00000000" w:rsidR="00000000" w:rsidRPr="00000000">
        <w:rPr>
          <w:rtl w:val="0"/>
        </w:rPr>
      </w:r>
    </w:p>
    <w:p w:rsidR="00000000" w:rsidDel="00000000" w:rsidP="00000000" w:rsidRDefault="00000000" w:rsidRPr="00000000" w14:paraId="0000000C">
      <w:pPr>
        <w:widowControl w:val="0"/>
        <w:spacing w:line="240" w:lineRule="auto"/>
        <w:ind w:left="142" w:hanging="141"/>
        <w:rPr>
          <w:i w:val="1"/>
          <w:sz w:val="24"/>
          <w:szCs w:val="24"/>
        </w:rPr>
      </w:pPr>
      <w:r w:rsidDel="00000000" w:rsidR="00000000" w:rsidRPr="00000000">
        <w:rPr>
          <w:i w:val="1"/>
          <w:sz w:val="24"/>
          <w:szCs w:val="24"/>
          <w:vertAlign w:val="superscript"/>
          <w:rtl w:val="0"/>
        </w:rPr>
        <w:t xml:space="preserve">1</w:t>
        <w:tab/>
      </w:r>
      <w:r w:rsidDel="00000000" w:rsidR="00000000" w:rsidRPr="00000000">
        <w:rPr>
          <w:i w:val="1"/>
          <w:sz w:val="24"/>
          <w:szCs w:val="24"/>
          <w:rtl w:val="0"/>
        </w:rPr>
        <w:t xml:space="preserve">Advanced Center for Chronic Diseases (ACCDiS), Faculty of Chemical &amp; Pharmaceutical Sciences &amp; Faculty of Medicine, Universidad de Chile, Santiago, Chile. </w:t>
      </w:r>
    </w:p>
    <w:p w:rsidR="00000000" w:rsidDel="00000000" w:rsidP="00000000" w:rsidRDefault="00000000" w:rsidRPr="00000000" w14:paraId="0000000D">
      <w:pPr>
        <w:widowControl w:val="0"/>
        <w:spacing w:line="240" w:lineRule="auto"/>
        <w:ind w:left="142" w:hanging="141"/>
        <w:rPr>
          <w:i w:val="1"/>
          <w:sz w:val="24"/>
          <w:szCs w:val="24"/>
        </w:rPr>
      </w:pPr>
      <w:r w:rsidDel="00000000" w:rsidR="00000000" w:rsidRPr="00000000">
        <w:rPr>
          <w:i w:val="1"/>
          <w:sz w:val="24"/>
          <w:szCs w:val="24"/>
          <w:vertAlign w:val="superscript"/>
          <w:rtl w:val="0"/>
        </w:rPr>
        <w:t xml:space="preserve">2</w:t>
        <w:tab/>
      </w:r>
      <w:r w:rsidDel="00000000" w:rsidR="00000000" w:rsidRPr="00000000">
        <w:rPr>
          <w:i w:val="1"/>
          <w:sz w:val="24"/>
          <w:szCs w:val="24"/>
          <w:rtl w:val="0"/>
        </w:rPr>
        <w:t xml:space="preserve">Programa de Pós-Graduação em Bioinformática, Bioinformatics Multidisciplinary Environment (BioME), Instituto Metrópole Digital, Universidade Federal do Rio Grande do Norte, Brazil. </w:t>
      </w:r>
    </w:p>
    <w:p w:rsidR="00000000" w:rsidDel="00000000" w:rsidP="00000000" w:rsidRDefault="00000000" w:rsidRPr="00000000" w14:paraId="0000000E">
      <w:pPr>
        <w:widowControl w:val="0"/>
        <w:spacing w:line="240" w:lineRule="auto"/>
        <w:ind w:left="142" w:hanging="141"/>
        <w:rPr>
          <w:i w:val="1"/>
          <w:sz w:val="24"/>
          <w:szCs w:val="24"/>
        </w:rPr>
      </w:pPr>
      <w:r w:rsidDel="00000000" w:rsidR="00000000" w:rsidRPr="00000000">
        <w:rPr>
          <w:i w:val="1"/>
          <w:sz w:val="24"/>
          <w:szCs w:val="24"/>
          <w:vertAlign w:val="superscript"/>
          <w:rtl w:val="0"/>
        </w:rPr>
        <w:t xml:space="preserve">3 </w:t>
      </w:r>
      <w:r w:rsidDel="00000000" w:rsidR="00000000" w:rsidRPr="00000000">
        <w:rPr>
          <w:i w:val="1"/>
          <w:sz w:val="24"/>
          <w:szCs w:val="24"/>
          <w:rtl w:val="0"/>
        </w:rPr>
        <w:t xml:space="preserve">Departamento de Informática, Centro de Informática, Universidade Federal da Paraíba, João Pessoa, Brazil.</w:t>
      </w:r>
    </w:p>
    <w:p w:rsidR="00000000" w:rsidDel="00000000" w:rsidP="00000000" w:rsidRDefault="00000000" w:rsidRPr="00000000" w14:paraId="0000000F">
      <w:pPr>
        <w:widowControl w:val="0"/>
        <w:spacing w:line="240" w:lineRule="auto"/>
        <w:ind w:left="142" w:hanging="141"/>
        <w:rPr>
          <w:i w:val="1"/>
          <w:sz w:val="24"/>
          <w:szCs w:val="24"/>
        </w:rPr>
      </w:pPr>
      <w:r w:rsidDel="00000000" w:rsidR="00000000" w:rsidRPr="00000000">
        <w:rPr>
          <w:i w:val="1"/>
          <w:sz w:val="24"/>
          <w:szCs w:val="24"/>
          <w:vertAlign w:val="superscript"/>
          <w:rtl w:val="0"/>
        </w:rPr>
        <w:t xml:space="preserve">4</w:t>
        <w:tab/>
      </w:r>
      <w:r w:rsidDel="00000000" w:rsidR="00000000" w:rsidRPr="00000000">
        <w:rPr>
          <w:i w:val="1"/>
          <w:sz w:val="24"/>
          <w:szCs w:val="24"/>
          <w:rtl w:val="0"/>
        </w:rPr>
        <w:t xml:space="preserve">Division of Cardiology, Department of Internal Medicine, University of Texas Southwestern Medical Center Dallas, Texas, USA.</w:t>
      </w:r>
    </w:p>
    <w:p w:rsidR="00000000" w:rsidDel="00000000" w:rsidP="00000000" w:rsidRDefault="00000000" w:rsidRPr="00000000" w14:paraId="00000010">
      <w:pPr>
        <w:widowControl w:val="0"/>
        <w:spacing w:line="240" w:lineRule="auto"/>
        <w:ind w:left="142" w:hanging="141"/>
        <w:rPr>
          <w:i w:val="1"/>
          <w:sz w:val="24"/>
          <w:szCs w:val="24"/>
        </w:rPr>
      </w:pPr>
      <w:r w:rsidDel="00000000" w:rsidR="00000000" w:rsidRPr="00000000">
        <w:rPr>
          <w:i w:val="1"/>
          <w:sz w:val="24"/>
          <w:szCs w:val="24"/>
          <w:vertAlign w:val="superscript"/>
          <w:rtl w:val="0"/>
        </w:rPr>
        <w:t xml:space="preserve">5</w:t>
        <w:tab/>
      </w:r>
      <w:r w:rsidDel="00000000" w:rsidR="00000000" w:rsidRPr="00000000">
        <w:rPr>
          <w:i w:val="1"/>
          <w:sz w:val="24"/>
          <w:szCs w:val="24"/>
          <w:rtl w:val="0"/>
        </w:rPr>
        <w:t xml:space="preserve">Department of Molecular Biology, University of Texas Southwestern Medical Center, Dallas, Texas, USA. </w:t>
      </w:r>
    </w:p>
    <w:p w:rsidR="00000000" w:rsidDel="00000000" w:rsidP="00000000" w:rsidRDefault="00000000" w:rsidRPr="00000000" w14:paraId="00000011">
      <w:pPr>
        <w:widowControl w:val="0"/>
        <w:spacing w:line="240" w:lineRule="auto"/>
        <w:ind w:left="142" w:hanging="135"/>
        <w:rPr>
          <w:i w:val="1"/>
          <w:sz w:val="24"/>
          <w:szCs w:val="24"/>
        </w:rPr>
      </w:pPr>
      <w:r w:rsidDel="00000000" w:rsidR="00000000" w:rsidRPr="00000000">
        <w:rPr>
          <w:i w:val="1"/>
          <w:sz w:val="24"/>
          <w:szCs w:val="24"/>
          <w:vertAlign w:val="superscript"/>
          <w:rtl w:val="0"/>
        </w:rPr>
        <w:t xml:space="preserve">6 </w:t>
      </w:r>
      <w:r w:rsidDel="00000000" w:rsidR="00000000" w:rsidRPr="00000000">
        <w:rPr>
          <w:i w:val="1"/>
          <w:sz w:val="24"/>
          <w:szCs w:val="24"/>
          <w:rtl w:val="0"/>
        </w:rPr>
        <w:t xml:space="preserve">Corporación Centro de Estudios Científicos de las Enfermedades Crónicas (CECEC), Santiago, Chile.</w:t>
      </w:r>
    </w:p>
    <w:p w:rsidR="00000000" w:rsidDel="00000000" w:rsidP="00000000" w:rsidRDefault="00000000" w:rsidRPr="00000000" w14:paraId="00000012">
      <w:pPr>
        <w:widowControl w:val="0"/>
        <w:spacing w:line="480" w:lineRule="auto"/>
        <w:rPr>
          <w:b w:val="1"/>
          <w:sz w:val="24"/>
          <w:szCs w:val="24"/>
        </w:rPr>
      </w:pPr>
      <w:r w:rsidDel="00000000" w:rsidR="00000000" w:rsidRPr="00000000">
        <w:rPr>
          <w:b w:val="1"/>
          <w:sz w:val="24"/>
          <w:szCs w:val="24"/>
          <w:rtl w:val="0"/>
        </w:rPr>
        <w:tab/>
      </w:r>
    </w:p>
    <w:p w:rsidR="00000000" w:rsidDel="00000000" w:rsidP="00000000" w:rsidRDefault="00000000" w:rsidRPr="00000000" w14:paraId="00000013">
      <w:pP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4">
      <w:pPr>
        <w:widowControl w:val="0"/>
        <w:spacing w:line="480" w:lineRule="auto"/>
        <w:rPr>
          <w:b w:val="1"/>
          <w:sz w:val="24"/>
          <w:szCs w:val="24"/>
        </w:rPr>
      </w:pPr>
      <w:bookmarkStart w:colFirst="0" w:colLast="0" w:name="_gjdgxs" w:id="0"/>
      <w:bookmarkEnd w:id="0"/>
      <w:r w:rsidDel="00000000" w:rsidR="00000000" w:rsidRPr="00000000">
        <w:rPr>
          <w:b w:val="1"/>
          <w:sz w:val="24"/>
          <w:szCs w:val="24"/>
          <w:rtl w:val="0"/>
        </w:rPr>
        <w:t xml:space="preserve">METHODS</w:t>
      </w:r>
    </w:p>
    <w:p w:rsidR="00000000" w:rsidDel="00000000" w:rsidP="00000000" w:rsidRDefault="00000000" w:rsidRPr="00000000" w14:paraId="00000015">
      <w:pPr>
        <w:widowControl w:val="0"/>
        <w:spacing w:line="480" w:lineRule="auto"/>
        <w:jc w:val="both"/>
        <w:rPr>
          <w:b w:val="1"/>
          <w:sz w:val="24"/>
          <w:szCs w:val="24"/>
        </w:rPr>
      </w:pPr>
      <w:r w:rsidDel="00000000" w:rsidR="00000000" w:rsidRPr="00000000">
        <w:rPr>
          <w:b w:val="1"/>
          <w:sz w:val="24"/>
          <w:szCs w:val="24"/>
          <w:rtl w:val="0"/>
        </w:rPr>
        <w:t xml:space="preserve">Datasets selection and filtering criteria</w:t>
      </w:r>
    </w:p>
    <w:p w:rsidR="00000000" w:rsidDel="00000000" w:rsidP="00000000" w:rsidRDefault="00000000" w:rsidRPr="00000000" w14:paraId="00000016">
      <w:pPr>
        <w:widowControl w:val="0"/>
        <w:spacing w:line="480" w:lineRule="auto"/>
        <w:jc w:val="both"/>
        <w:rPr>
          <w:b w:val="1"/>
          <w:sz w:val="24"/>
          <w:szCs w:val="24"/>
        </w:rPr>
      </w:pPr>
      <w:r w:rsidDel="00000000" w:rsidR="00000000" w:rsidRPr="00000000">
        <w:rPr>
          <w:sz w:val="24"/>
          <w:szCs w:val="24"/>
          <w:rtl w:val="0"/>
        </w:rPr>
        <w:t xml:space="preserve">We used a cardiac single-cell RNA-seq dataset from </w:t>
      </w:r>
      <w:r w:rsidDel="00000000" w:rsidR="00000000" w:rsidRPr="00000000">
        <w:rPr>
          <w:i w:val="1"/>
          <w:sz w:val="24"/>
          <w:szCs w:val="24"/>
          <w:rtl w:val="0"/>
        </w:rPr>
        <w:t xml:space="preserve">Mus musculus </w:t>
      </w:r>
      <w:r w:rsidDel="00000000" w:rsidR="00000000" w:rsidRPr="00000000">
        <w:rPr>
          <w:sz w:val="24"/>
          <w:szCs w:val="24"/>
          <w:rtl w:val="0"/>
        </w:rPr>
        <w:t xml:space="preserve">model</w:t>
      </w:r>
      <w:r w:rsidDel="00000000" w:rsidR="00000000" w:rsidRPr="00000000">
        <w:rPr>
          <w:i w:val="1"/>
          <w:sz w:val="24"/>
          <w:szCs w:val="24"/>
          <w:rtl w:val="0"/>
        </w:rPr>
        <w:t xml:space="preserve"> </w:t>
      </w:r>
      <w:r w:rsidDel="00000000" w:rsidR="00000000" w:rsidRPr="00000000">
        <w:rPr>
          <w:sz w:val="24"/>
          <w:szCs w:val="24"/>
          <w:rtl w:val="0"/>
        </w:rPr>
        <w:t xml:space="preserve">organism provided by DeLaughter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6">
        <w:r w:rsidDel="00000000" w:rsidR="00000000" w:rsidRPr="00000000">
          <w:rPr>
            <w:b w:val="0"/>
            <w:color w:val="000000"/>
            <w:sz w:val="24"/>
            <w:szCs w:val="24"/>
            <w:u w:val="none"/>
            <w:rtl w:val="0"/>
          </w:rPr>
          <w:t xml:space="preserve">1</w:t>
        </w:r>
      </w:hyperlink>
      <w:r w:rsidDel="00000000" w:rsidR="00000000" w:rsidRPr="00000000">
        <w:rPr>
          <w:sz w:val="24"/>
          <w:szCs w:val="24"/>
          <w:rtl w:val="0"/>
        </w:rPr>
        <w:t xml:space="preserve">]</w:t>
      </w:r>
      <w:r w:rsidDel="00000000" w:rsidR="00000000" w:rsidRPr="00000000">
        <w:rPr>
          <w:sz w:val="24"/>
          <w:szCs w:val="24"/>
          <w:rtl w:val="0"/>
        </w:rPr>
        <w:t xml:space="preserve">. The dataset was generated from 1,695 single-cells from 4 embryonic (E9.5, E11.5, E14.5, E18.5) and 4 post-natal (P0, P3, P7, P21) stages, according to 5 different regions of the heart (ventricle, atrium, left ventricle, right ventricle, and left atrium), captured using the Fluidigm integrated fluidic circuits (IFC). For the lncRNA reference database, we combined lncRNAs from Gencode (M20), Ensembl (GRCm38.95) and Amaral </w:t>
      </w:r>
      <w:r w:rsidDel="00000000" w:rsidR="00000000" w:rsidRPr="00000000">
        <w:rPr>
          <w:i w:val="1"/>
          <w:sz w:val="24"/>
          <w:szCs w:val="24"/>
          <w:rtl w:val="0"/>
        </w:rPr>
        <w:t xml:space="preserve">et al.</w:t>
      </w:r>
      <w:r w:rsidDel="00000000" w:rsidR="00000000" w:rsidRPr="00000000">
        <w:rPr>
          <w:sz w:val="24"/>
          <w:szCs w:val="24"/>
          <w:rtl w:val="0"/>
        </w:rPr>
        <w:t xml:space="preserve"> (2018) [</w:t>
      </w:r>
      <w:hyperlink r:id="rId7">
        <w:r w:rsidDel="00000000" w:rsidR="00000000" w:rsidRPr="00000000">
          <w:rPr>
            <w:b w:val="0"/>
            <w:color w:val="000000"/>
            <w:sz w:val="24"/>
            <w:szCs w:val="24"/>
            <w:u w:val="none"/>
            <w:rtl w:val="0"/>
          </w:rPr>
          <w:t xml:space="preserve">2</w:t>
        </w:r>
      </w:hyperlink>
      <w:r w:rsidDel="00000000" w:rsidR="00000000" w:rsidRPr="00000000">
        <w:rPr>
          <w:sz w:val="24"/>
          <w:szCs w:val="24"/>
          <w:rtl w:val="0"/>
        </w:rPr>
        <w:t xml:space="preserve">]</w:t>
      </w:r>
      <w:r w:rsidDel="00000000" w:rsidR="00000000" w:rsidRPr="00000000">
        <w:rPr>
          <w:color w:val="000000"/>
          <w:sz w:val="24"/>
          <w:szCs w:val="24"/>
          <w:rtl w:val="0"/>
        </w:rPr>
        <w:t xml:space="preserve">,</w:t>
      </w:r>
      <w:r w:rsidDel="00000000" w:rsidR="00000000" w:rsidRPr="00000000">
        <w:rPr>
          <w:sz w:val="24"/>
          <w:szCs w:val="24"/>
          <w:rtl w:val="0"/>
        </w:rPr>
        <w:t xml:space="preserve"> which contained 18,339, 9,074 and 15,757 lncRNAs, respectively. For coding transcripts, we selected the Gencode (M20) dataset. Since the lncRNAs reference dataset was built from 3 different databases, preprocessing was performed to remove the redundant sequences and generate the final dataset. In this process, we eliminated the lncRNAs with more than 50% of overlap [</w:t>
      </w:r>
      <w:hyperlink r:id="rId8">
        <w:r w:rsidDel="00000000" w:rsidR="00000000" w:rsidRPr="00000000">
          <w:rPr>
            <w:b w:val="0"/>
            <w:color w:val="000000"/>
            <w:sz w:val="24"/>
            <w:szCs w:val="24"/>
            <w:u w:val="none"/>
            <w:rtl w:val="0"/>
          </w:rPr>
          <w:t xml:space="preserve">2</w:t>
        </w:r>
      </w:hyperlink>
      <w:r w:rsidDel="00000000" w:rsidR="00000000" w:rsidRPr="00000000">
        <w:rPr>
          <w:sz w:val="24"/>
          <w:szCs w:val="24"/>
          <w:rtl w:val="0"/>
        </w:rPr>
        <w:t xml:space="preserve">]</w:t>
      </w:r>
      <w:r w:rsidDel="00000000" w:rsidR="00000000" w:rsidRPr="00000000">
        <w:rPr>
          <w:sz w:val="24"/>
          <w:szCs w:val="24"/>
          <w:rtl w:val="0"/>
        </w:rPr>
        <w:t xml:space="preserve"> from one database to another, resulting in the final dataset of 21,044 lncRNAs.</w:t>
      </w:r>
      <w:r w:rsidDel="00000000" w:rsidR="00000000" w:rsidRPr="00000000">
        <w:rPr>
          <w:b w:val="1"/>
          <w:sz w:val="24"/>
          <w:szCs w:val="24"/>
          <w:rtl w:val="0"/>
        </w:rPr>
        <w:t xml:space="preserve"> </w:t>
      </w:r>
      <w:r w:rsidDel="00000000" w:rsidR="00000000" w:rsidRPr="00000000">
        <w:rPr>
          <w:sz w:val="24"/>
          <w:szCs w:val="24"/>
          <w:rtl w:val="0"/>
        </w:rPr>
        <w:t xml:space="preserve">To obtain expression levels of lncRNAs and coding transcripts we performed the following pipeline: Fastqc version 0.11.9, to execute the quality control [</w:t>
      </w:r>
      <w:hyperlink r:id="rId9">
        <w:r w:rsidDel="00000000" w:rsidR="00000000" w:rsidRPr="00000000">
          <w:rPr>
            <w:b w:val="0"/>
            <w:color w:val="000000"/>
            <w:sz w:val="24"/>
            <w:szCs w:val="24"/>
            <w:u w:val="none"/>
            <w:rtl w:val="0"/>
          </w:rPr>
          <w:t xml:space="preserve">3,4</w:t>
        </w:r>
      </w:hyperlink>
      <w:r w:rsidDel="00000000" w:rsidR="00000000" w:rsidRPr="00000000">
        <w:rPr>
          <w:sz w:val="24"/>
          <w:szCs w:val="24"/>
          <w:rtl w:val="0"/>
        </w:rPr>
        <w:t xml:space="preserve">]</w:t>
      </w:r>
      <w:r w:rsidDel="00000000" w:rsidR="00000000" w:rsidRPr="00000000">
        <w:rPr>
          <w:sz w:val="24"/>
          <w:szCs w:val="24"/>
          <w:rtl w:val="0"/>
        </w:rPr>
        <w:t xml:space="preserve">; Trimmomatic version 0.39, to trim and crop the bases with low quality as well as to remove the adapters [</w:t>
      </w:r>
      <w:hyperlink r:id="rId10">
        <w:r w:rsidDel="00000000" w:rsidR="00000000" w:rsidRPr="00000000">
          <w:rPr>
            <w:b w:val="0"/>
            <w:color w:val="000000"/>
            <w:sz w:val="24"/>
            <w:szCs w:val="24"/>
            <w:u w:val="none"/>
            <w:rtl w:val="0"/>
          </w:rPr>
          <w:t xml:space="preserve">5</w:t>
        </w:r>
      </w:hyperlink>
      <w:r w:rsidDel="00000000" w:rsidR="00000000" w:rsidRPr="00000000">
        <w:rPr>
          <w:sz w:val="24"/>
          <w:szCs w:val="24"/>
          <w:rtl w:val="0"/>
        </w:rPr>
        <w:t xml:space="preserve">]</w:t>
      </w:r>
      <w:r w:rsidDel="00000000" w:rsidR="00000000" w:rsidRPr="00000000">
        <w:rPr>
          <w:sz w:val="24"/>
          <w:szCs w:val="24"/>
          <w:rtl w:val="0"/>
        </w:rPr>
        <w:t xml:space="preserve"> (parameters: 2:30:10 LEADING:5 TRAILING:5 SLIDINGWINDOW:4:28 MINLEN:32); Hisat2 version 2.1.0, to mapping sequencing reads [</w:t>
      </w:r>
      <w:hyperlink r:id="rId11">
        <w:r w:rsidDel="00000000" w:rsidR="00000000" w:rsidRPr="00000000">
          <w:rPr>
            <w:b w:val="0"/>
            <w:color w:val="000000"/>
            <w:sz w:val="24"/>
            <w:szCs w:val="24"/>
            <w:u w:val="none"/>
            <w:rtl w:val="0"/>
          </w:rPr>
          <w:t xml:space="preserve">6</w:t>
        </w:r>
      </w:hyperlink>
      <w:r w:rsidDel="00000000" w:rsidR="00000000" w:rsidRPr="00000000">
        <w:rPr>
          <w:sz w:val="24"/>
          <w:szCs w:val="24"/>
          <w:rtl w:val="0"/>
        </w:rPr>
        <w:t xml:space="preserve">]</w:t>
      </w:r>
      <w:r w:rsidDel="00000000" w:rsidR="00000000" w:rsidRPr="00000000">
        <w:rPr>
          <w:sz w:val="24"/>
          <w:szCs w:val="24"/>
          <w:rtl w:val="0"/>
        </w:rPr>
        <w:t xml:space="preserve">, using --dta-cufflinks parameter to makes Hisat2 alignment tailored specifically for Cufflinks; Samtools version 1.3.1, to convert SAM to BAM and sort the BAM's files [</w:t>
      </w:r>
      <w:hyperlink r:id="rId12">
        <w:r w:rsidDel="00000000" w:rsidR="00000000" w:rsidRPr="00000000">
          <w:rPr>
            <w:b w:val="0"/>
            <w:color w:val="000000"/>
            <w:sz w:val="24"/>
            <w:szCs w:val="24"/>
            <w:u w:val="none"/>
            <w:rtl w:val="0"/>
          </w:rPr>
          <w:t xml:space="preserve">7</w:t>
        </w:r>
      </w:hyperlink>
      <w:r w:rsidDel="00000000" w:rsidR="00000000" w:rsidRPr="00000000">
        <w:rPr>
          <w:sz w:val="24"/>
          <w:szCs w:val="24"/>
          <w:rtl w:val="0"/>
        </w:rPr>
        <w:t xml:space="preserve">]</w:t>
      </w:r>
      <w:r w:rsidDel="00000000" w:rsidR="00000000" w:rsidRPr="00000000">
        <w:rPr>
          <w:sz w:val="24"/>
          <w:szCs w:val="24"/>
          <w:rtl w:val="0"/>
        </w:rPr>
        <w:t xml:space="preserve">; Cuffnorm, part of Cufflinks package version 2.2.1, to report expression levels normalized by FPKM [</w:t>
      </w:r>
      <w:hyperlink r:id="rId13">
        <w:r w:rsidDel="00000000" w:rsidR="00000000" w:rsidRPr="00000000">
          <w:rPr>
            <w:b w:val="0"/>
            <w:color w:val="000000"/>
            <w:sz w:val="24"/>
            <w:szCs w:val="24"/>
            <w:u w:val="none"/>
            <w:rtl w:val="0"/>
          </w:rPr>
          <w:t xml:space="preserve">8</w:t>
        </w:r>
      </w:hyperlink>
      <w:r w:rsidDel="00000000" w:rsidR="00000000" w:rsidRPr="00000000">
        <w:rPr>
          <w:sz w:val="24"/>
          <w:szCs w:val="24"/>
          <w:rtl w:val="0"/>
        </w:rPr>
        <w:t xml:space="preserve">]</w:t>
      </w:r>
      <w:r w:rsidDel="00000000" w:rsidR="00000000" w:rsidRPr="00000000">
        <w:rPr>
          <w:sz w:val="24"/>
          <w:szCs w:val="24"/>
          <w:rtl w:val="0"/>
        </w:rPr>
        <w:t xml:space="preserve">. To determine expressed transcripts and its filtering to avoid sparsity issues, we used a filter of an expression value (FPKM &gt; 0.001) [</w:t>
      </w:r>
      <w:hyperlink r:id="rId14">
        <w:r w:rsidDel="00000000" w:rsidR="00000000" w:rsidRPr="00000000">
          <w:rPr>
            <w:b w:val="0"/>
            <w:color w:val="000000"/>
            <w:sz w:val="24"/>
            <w:szCs w:val="24"/>
            <w:u w:val="none"/>
            <w:rtl w:val="0"/>
          </w:rPr>
          <w:t xml:space="preserve">2</w:t>
        </w:r>
      </w:hyperlink>
      <w:r w:rsidDel="00000000" w:rsidR="00000000" w:rsidRPr="00000000">
        <w:rPr>
          <w:sz w:val="24"/>
          <w:szCs w:val="24"/>
          <w:rtl w:val="0"/>
        </w:rPr>
        <w:t xml:space="preserve">]</w:t>
      </w:r>
      <w:r w:rsidDel="00000000" w:rsidR="00000000" w:rsidRPr="00000000">
        <w:rPr>
          <w:sz w:val="24"/>
          <w:szCs w:val="24"/>
          <w:rtl w:val="0"/>
        </w:rPr>
        <w:t xml:space="preserve"> and transcript expression percentage in cells: transcript had to be expressed in at least 5% of the cells [</w:t>
      </w:r>
      <w:hyperlink r:id="rId15">
        <w:r w:rsidDel="00000000" w:rsidR="00000000" w:rsidRPr="00000000">
          <w:rPr>
            <w:b w:val="0"/>
            <w:color w:val="000000"/>
            <w:sz w:val="24"/>
            <w:szCs w:val="24"/>
            <w:u w:val="none"/>
            <w:rtl w:val="0"/>
          </w:rPr>
          <w:t xml:space="preserve">9,10</w:t>
        </w:r>
      </w:hyperlink>
      <w:r w:rsidDel="00000000" w:rsidR="00000000" w:rsidRPr="00000000">
        <w:rPr>
          <w:sz w:val="24"/>
          <w:szCs w:val="24"/>
          <w:rtl w:val="0"/>
        </w:rPr>
        <w:t xml:space="preserve">]</w:t>
      </w:r>
      <w:r w:rsidDel="00000000" w:rsidR="00000000" w:rsidRPr="00000000">
        <w:rPr>
          <w:sz w:val="24"/>
          <w:szCs w:val="24"/>
          <w:rtl w:val="0"/>
        </w:rPr>
        <w:t xml:space="preserve">. Then, we performed transcriptome saturation at a random stage of the heart development (left ventricle at E18.5) to show that lncRNAs are identified with this pipeline (</w:t>
      </w:r>
      <w:r w:rsidDel="00000000" w:rsidR="00000000" w:rsidRPr="00000000">
        <w:rPr>
          <w:color w:val="0070c0"/>
          <w:sz w:val="24"/>
          <w:szCs w:val="24"/>
          <w:rtl w:val="0"/>
        </w:rPr>
        <w:t xml:space="preserve">Supplementary Fig. 2</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7">
      <w:pPr>
        <w:pStyle w:val="Heading2"/>
        <w:keepNext w:val="0"/>
        <w:keepLines w:val="0"/>
        <w:widowControl w:val="0"/>
        <w:spacing w:after="0" w:before="0" w:line="480" w:lineRule="auto"/>
        <w:jc w:val="both"/>
        <w:rPr>
          <w:b w:val="1"/>
          <w:sz w:val="24"/>
          <w:szCs w:val="24"/>
        </w:rPr>
      </w:pPr>
      <w:bookmarkStart w:colFirst="0" w:colLast="0" w:name="_30j0zll" w:id="1"/>
      <w:bookmarkEnd w:id="1"/>
      <w:r w:rsidDel="00000000" w:rsidR="00000000" w:rsidRPr="00000000">
        <w:rPr>
          <w:rtl w:val="0"/>
        </w:rPr>
      </w:r>
    </w:p>
    <w:p w:rsidR="00000000" w:rsidDel="00000000" w:rsidP="00000000" w:rsidRDefault="00000000" w:rsidRPr="00000000" w14:paraId="00000018">
      <w:pPr>
        <w:pStyle w:val="Heading2"/>
        <w:keepNext w:val="0"/>
        <w:keepLines w:val="0"/>
        <w:widowControl w:val="0"/>
        <w:spacing w:after="0" w:before="0" w:line="480" w:lineRule="auto"/>
        <w:jc w:val="both"/>
        <w:rPr>
          <w:b w:val="1"/>
          <w:sz w:val="24"/>
          <w:szCs w:val="24"/>
        </w:rPr>
      </w:pPr>
      <w:r w:rsidDel="00000000" w:rsidR="00000000" w:rsidRPr="00000000">
        <w:rPr>
          <w:b w:val="1"/>
          <w:sz w:val="24"/>
          <w:szCs w:val="24"/>
          <w:rtl w:val="0"/>
        </w:rPr>
        <w:t xml:space="preserve">Cell clustering</w:t>
      </w:r>
    </w:p>
    <w:p w:rsidR="00000000" w:rsidDel="00000000" w:rsidP="00000000" w:rsidRDefault="00000000" w:rsidRPr="00000000" w14:paraId="00000019">
      <w:pPr>
        <w:pStyle w:val="Heading2"/>
        <w:keepNext w:val="0"/>
        <w:keepLines w:val="0"/>
        <w:widowControl w:val="0"/>
        <w:spacing w:after="0" w:before="0" w:line="480" w:lineRule="auto"/>
        <w:jc w:val="both"/>
        <w:rPr>
          <w:sz w:val="24"/>
          <w:szCs w:val="24"/>
        </w:rPr>
      </w:pPr>
      <w:r w:rsidDel="00000000" w:rsidR="00000000" w:rsidRPr="00000000">
        <w:rPr>
          <w:sz w:val="24"/>
          <w:szCs w:val="24"/>
          <w:rtl w:val="0"/>
        </w:rPr>
        <w:t xml:space="preserve">We utilized the M3Drop R package [</w:t>
      </w:r>
      <w:hyperlink r:id="rId16">
        <w:r w:rsidDel="00000000" w:rsidR="00000000" w:rsidRPr="00000000">
          <w:rPr>
            <w:b w:val="0"/>
            <w:color w:val="000000"/>
            <w:sz w:val="24"/>
            <w:szCs w:val="24"/>
            <w:u w:val="none"/>
            <w:rtl w:val="0"/>
          </w:rPr>
          <w:t xml:space="preserve">11</w:t>
        </w:r>
      </w:hyperlink>
      <w:r w:rsidDel="00000000" w:rsidR="00000000" w:rsidRPr="00000000">
        <w:rPr>
          <w:sz w:val="24"/>
          <w:szCs w:val="24"/>
          <w:rtl w:val="0"/>
        </w:rPr>
        <w:t xml:space="preserve">]</w:t>
      </w:r>
      <w:r w:rsidDel="00000000" w:rsidR="00000000" w:rsidRPr="00000000">
        <w:rPr>
          <w:sz w:val="24"/>
          <w:szCs w:val="24"/>
          <w:rtl w:val="0"/>
        </w:rPr>
        <w:t xml:space="preserve">, which fits a Michaelis-Menten model to the pattern of dropouts in single-cell RNA-seq data. This model was used to identify significantly variable (</w:t>
      </w:r>
      <w:r w:rsidDel="00000000" w:rsidR="00000000" w:rsidRPr="00000000">
        <w:rPr>
          <w:i w:val="1"/>
          <w:sz w:val="24"/>
          <w:szCs w:val="24"/>
          <w:rtl w:val="0"/>
        </w:rPr>
        <w:t xml:space="preserve">i.e</w:t>
      </w:r>
      <w:r w:rsidDel="00000000" w:rsidR="00000000" w:rsidRPr="00000000">
        <w:rPr>
          <w:sz w:val="24"/>
          <w:szCs w:val="24"/>
          <w:rtl w:val="0"/>
        </w:rPr>
        <w:t xml:space="preserve">. differentially expressed) genes to clusterize cells. Next, we utilized the Silhouette method [</w:t>
      </w:r>
      <w:hyperlink r:id="rId17">
        <w:r w:rsidDel="00000000" w:rsidR="00000000" w:rsidRPr="00000000">
          <w:rPr>
            <w:b w:val="0"/>
            <w:color w:val="000000"/>
            <w:sz w:val="24"/>
            <w:szCs w:val="24"/>
            <w:u w:val="none"/>
            <w:rtl w:val="0"/>
          </w:rPr>
          <w:t xml:space="preserve">12</w:t>
        </w:r>
      </w:hyperlink>
      <w:r w:rsidDel="00000000" w:rsidR="00000000" w:rsidRPr="00000000">
        <w:rPr>
          <w:sz w:val="24"/>
          <w:szCs w:val="24"/>
          <w:rtl w:val="0"/>
        </w:rPr>
        <w:t xml:space="preserve">]</w:t>
      </w:r>
      <w:r w:rsidDel="00000000" w:rsidR="00000000" w:rsidRPr="00000000">
        <w:rPr>
          <w:sz w:val="24"/>
          <w:szCs w:val="24"/>
          <w:rtl w:val="0"/>
        </w:rPr>
        <w:t xml:space="preserve"> to estimate the best clusters and performed unsupervised hierarchical clustering with Ward linkage from scikit-learn Python library to group the cells. Then, we performed Principal Component Analysis (PCA) to reduce the dimensionality and t-distributed Stochastic Neighbor Embedding (t-SNE) for better visualization of the clusters with high dimensionality.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2"/>
        <w:keepNext w:val="0"/>
        <w:keepLines w:val="0"/>
        <w:widowControl w:val="0"/>
        <w:spacing w:after="0" w:before="0" w:line="480" w:lineRule="auto"/>
        <w:jc w:val="both"/>
        <w:rPr>
          <w:b w:val="1"/>
          <w:sz w:val="24"/>
          <w:szCs w:val="24"/>
        </w:rPr>
      </w:pPr>
      <w:bookmarkStart w:colFirst="0" w:colLast="0" w:name="_1fob9te" w:id="2"/>
      <w:bookmarkEnd w:id="2"/>
      <w:r w:rsidDel="00000000" w:rsidR="00000000" w:rsidRPr="00000000">
        <w:rPr>
          <w:b w:val="1"/>
          <w:sz w:val="24"/>
          <w:szCs w:val="24"/>
          <w:rtl w:val="0"/>
        </w:rPr>
        <w:t xml:space="preserve">Gene markers, cell types identification, and clustering assignment</w:t>
      </w:r>
    </w:p>
    <w:p w:rsidR="00000000" w:rsidDel="00000000" w:rsidP="00000000" w:rsidRDefault="00000000" w:rsidRPr="00000000" w14:paraId="0000001C">
      <w:pPr>
        <w:pStyle w:val="Heading2"/>
        <w:keepNext w:val="0"/>
        <w:keepLines w:val="0"/>
        <w:widowControl w:val="0"/>
        <w:spacing w:after="0" w:before="0" w:line="480" w:lineRule="auto"/>
        <w:jc w:val="both"/>
        <w:rPr>
          <w:sz w:val="24"/>
          <w:szCs w:val="24"/>
        </w:rPr>
      </w:pPr>
      <w:r w:rsidDel="00000000" w:rsidR="00000000" w:rsidRPr="00000000">
        <w:rPr>
          <w:sz w:val="24"/>
          <w:szCs w:val="24"/>
          <w:rtl w:val="0"/>
        </w:rPr>
        <w:t xml:space="preserve">We generated a cell marker database using gene markers from DeLaughter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18">
        <w:r w:rsidDel="00000000" w:rsidR="00000000" w:rsidRPr="00000000">
          <w:rPr>
            <w:b w:val="0"/>
            <w:color w:val="000000"/>
            <w:sz w:val="24"/>
            <w:szCs w:val="24"/>
            <w:u w:val="none"/>
            <w:rtl w:val="0"/>
          </w:rPr>
          <w:t xml:space="preserve">1</w:t>
        </w:r>
      </w:hyperlink>
      <w:r w:rsidDel="00000000" w:rsidR="00000000" w:rsidRPr="00000000">
        <w:rPr>
          <w:sz w:val="24"/>
          <w:szCs w:val="24"/>
          <w:rtl w:val="0"/>
        </w:rPr>
        <w:t xml:space="preserve">]</w:t>
      </w:r>
      <w:r w:rsidDel="00000000" w:rsidR="00000000" w:rsidRPr="00000000">
        <w:rPr>
          <w:sz w:val="24"/>
          <w:szCs w:val="24"/>
          <w:rtl w:val="0"/>
        </w:rPr>
        <w:t xml:space="preserve">, Gladka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19">
        <w:r w:rsidDel="00000000" w:rsidR="00000000" w:rsidRPr="00000000">
          <w:rPr>
            <w:b w:val="0"/>
            <w:color w:val="000000"/>
            <w:sz w:val="24"/>
            <w:szCs w:val="24"/>
            <w:u w:val="none"/>
            <w:rtl w:val="0"/>
          </w:rPr>
          <w:t xml:space="preserve">13</w:t>
        </w:r>
      </w:hyperlink>
      <w:r w:rsidDel="00000000" w:rsidR="00000000" w:rsidRPr="00000000">
        <w:rPr>
          <w:sz w:val="24"/>
          <w:szCs w:val="24"/>
          <w:rtl w:val="0"/>
        </w:rPr>
        <w:t xml:space="preserve">]</w:t>
      </w:r>
      <w:r w:rsidDel="00000000" w:rsidR="00000000" w:rsidRPr="00000000">
        <w:rPr>
          <w:sz w:val="24"/>
          <w:szCs w:val="24"/>
          <w:rtl w:val="0"/>
        </w:rPr>
        <w:t xml:space="preserve">, Farbehi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20">
        <w:r w:rsidDel="00000000" w:rsidR="00000000" w:rsidRPr="00000000">
          <w:rPr>
            <w:b w:val="0"/>
            <w:color w:val="000000"/>
            <w:sz w:val="24"/>
            <w:szCs w:val="24"/>
            <w:u w:val="none"/>
            <w:rtl w:val="0"/>
          </w:rPr>
          <w:t xml:space="preserve">14</w:t>
        </w:r>
      </w:hyperlink>
      <w:r w:rsidDel="00000000" w:rsidR="00000000" w:rsidRPr="00000000">
        <w:rPr>
          <w:sz w:val="24"/>
          <w:szCs w:val="24"/>
          <w:rtl w:val="0"/>
        </w:rPr>
        <w:t xml:space="preserve">]</w:t>
      </w:r>
      <w:r w:rsidDel="00000000" w:rsidR="00000000" w:rsidRPr="00000000">
        <w:rPr>
          <w:sz w:val="24"/>
          <w:szCs w:val="24"/>
          <w:rtl w:val="0"/>
        </w:rPr>
        <w:t xml:space="preserve">, and Franzén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21">
        <w:r w:rsidDel="00000000" w:rsidR="00000000" w:rsidRPr="00000000">
          <w:rPr>
            <w:b w:val="0"/>
            <w:color w:val="000000"/>
            <w:sz w:val="24"/>
            <w:szCs w:val="24"/>
            <w:u w:val="none"/>
            <w:rtl w:val="0"/>
          </w:rPr>
          <w:t xml:space="preserve">15</w:t>
        </w:r>
      </w:hyperlink>
      <w:r w:rsidDel="00000000" w:rsidR="00000000" w:rsidRPr="00000000">
        <w:rPr>
          <w:sz w:val="24"/>
          <w:szCs w:val="24"/>
          <w:rtl w:val="0"/>
        </w:rPr>
        <w:t xml:space="preserve">]</w:t>
      </w:r>
      <w:r w:rsidDel="00000000" w:rsidR="00000000" w:rsidRPr="00000000">
        <w:rPr>
          <w:sz w:val="24"/>
          <w:szCs w:val="24"/>
          <w:rtl w:val="0"/>
        </w:rPr>
        <w:t xml:space="preserve">. Markers that were classified for more than one cell type were eliminated. The number of final gene markers for each cell type was: cardiomyocytes (70); endothelial cells (100); fibroblasts and myofibroblasts (140); macrophages and monocytes (128); B-cells (76); dendritic cells (42); glial cells (2); natural killer cells (35); T-cells (59); mural cells, vascular smooth muscle cells and pericytes (42) and myoblasts (16). Using this cell marker unified database, we checked the frequency of appearance of these genes in cardiac single cell samples from DeLaughter </w:t>
      </w:r>
      <w:r w:rsidDel="00000000" w:rsidR="00000000" w:rsidRPr="00000000">
        <w:rPr>
          <w:i w:val="1"/>
          <w:sz w:val="24"/>
          <w:szCs w:val="24"/>
          <w:rtl w:val="0"/>
        </w:rPr>
        <w:t xml:space="preserve">et al</w:t>
      </w:r>
      <w:r w:rsidDel="00000000" w:rsidR="00000000" w:rsidRPr="00000000">
        <w:rPr>
          <w:sz w:val="24"/>
          <w:szCs w:val="24"/>
          <w:rtl w:val="0"/>
        </w:rPr>
        <w:t xml:space="preserve">. [</w:t>
      </w:r>
      <w:hyperlink r:id="rId22">
        <w:r w:rsidDel="00000000" w:rsidR="00000000" w:rsidRPr="00000000">
          <w:rPr>
            <w:b w:val="0"/>
            <w:color w:val="000000"/>
            <w:sz w:val="24"/>
            <w:szCs w:val="24"/>
            <w:u w:val="none"/>
            <w:rtl w:val="0"/>
          </w:rPr>
          <w:t xml:space="preserve">1</w:t>
        </w:r>
      </w:hyperlink>
      <w:r w:rsidDel="00000000" w:rsidR="00000000" w:rsidRPr="00000000">
        <w:rPr>
          <w:sz w:val="24"/>
          <w:szCs w:val="24"/>
          <w:rtl w:val="0"/>
        </w:rPr>
        <w:t xml:space="preserve">]</w:t>
      </w:r>
      <w:r w:rsidDel="00000000" w:rsidR="00000000" w:rsidRPr="00000000">
        <w:rPr>
          <w:color w:val="0000ff"/>
          <w:sz w:val="24"/>
          <w:szCs w:val="24"/>
          <w:vertAlign w:val="superscript"/>
          <w:rtl w:val="0"/>
        </w:rPr>
        <w:t xml:space="preserve"> </w:t>
      </w:r>
      <w:r w:rsidDel="00000000" w:rsidR="00000000" w:rsidRPr="00000000">
        <w:rPr>
          <w:sz w:val="24"/>
          <w:szCs w:val="24"/>
          <w:rtl w:val="0"/>
        </w:rPr>
        <w:t xml:space="preserve">and saw that there was no significant appearance of markers from glial cells and natural killer cells and eliminated these 2 cell types. Our final dataset was composed of markers for 9 cell types, which were used to assign cell types to the clusters: cardiomyocytes; endothelial; fibroblasts and myofibroblasts; macrophages and monocytes; B-cells; dendritic; T-cells; mural cells; vascular smooth muscle cells and pericytes; and myoblasts. M3Drop [</w:t>
      </w:r>
      <w:hyperlink r:id="rId23">
        <w:r w:rsidDel="00000000" w:rsidR="00000000" w:rsidRPr="00000000">
          <w:rPr>
            <w:b w:val="0"/>
            <w:color w:val="000000"/>
            <w:sz w:val="24"/>
            <w:szCs w:val="24"/>
            <w:u w:val="none"/>
            <w:rtl w:val="0"/>
          </w:rPr>
          <w:t xml:space="preserve">11</w:t>
        </w:r>
      </w:hyperlink>
      <w:r w:rsidDel="00000000" w:rsidR="00000000" w:rsidRPr="00000000">
        <w:rPr>
          <w:sz w:val="24"/>
          <w:szCs w:val="24"/>
          <w:rtl w:val="0"/>
        </w:rPr>
        <w:t xml:space="preserve">]</w:t>
      </w:r>
      <w:r w:rsidDel="00000000" w:rsidR="00000000" w:rsidRPr="00000000">
        <w:rPr>
          <w:sz w:val="24"/>
          <w:szCs w:val="24"/>
          <w:rtl w:val="0"/>
        </w:rPr>
        <w:t xml:space="preserve"> was used to find the marker transcripts of each cluster and chi-squared and adherence tests were used to determine the cluster's assignment signification (</w:t>
      </w:r>
      <w:r w:rsidDel="00000000" w:rsidR="00000000" w:rsidRPr="00000000">
        <w:rPr>
          <w:i w:val="1"/>
          <w:sz w:val="24"/>
          <w:szCs w:val="24"/>
          <w:rtl w:val="0"/>
        </w:rPr>
        <w:t xml:space="preserve">i.e</w:t>
      </w:r>
      <w:r w:rsidDel="00000000" w:rsidR="00000000" w:rsidRPr="00000000">
        <w:rPr>
          <w:sz w:val="24"/>
          <w:szCs w:val="24"/>
          <w:rtl w:val="0"/>
        </w:rPr>
        <w:t xml:space="preserve">. p-value &lt; 0.05). </w:t>
      </w:r>
    </w:p>
    <w:p w:rsidR="00000000" w:rsidDel="00000000" w:rsidP="00000000" w:rsidRDefault="00000000" w:rsidRPr="00000000" w14:paraId="0000001D">
      <w:pPr>
        <w:pStyle w:val="Heading2"/>
        <w:keepNext w:val="0"/>
        <w:keepLines w:val="0"/>
        <w:widowControl w:val="0"/>
        <w:spacing w:after="0" w:before="0" w:line="480" w:lineRule="auto"/>
        <w:jc w:val="both"/>
        <w:rPr>
          <w:b w:val="1"/>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01E">
      <w:pPr>
        <w:pStyle w:val="Heading2"/>
        <w:keepNext w:val="0"/>
        <w:keepLines w:val="0"/>
        <w:widowControl w:val="0"/>
        <w:spacing w:after="0" w:before="0" w:line="480" w:lineRule="auto"/>
        <w:jc w:val="both"/>
        <w:rPr>
          <w:b w:val="1"/>
          <w:sz w:val="24"/>
          <w:szCs w:val="24"/>
        </w:rPr>
      </w:pPr>
      <w:r w:rsidDel="00000000" w:rsidR="00000000" w:rsidRPr="00000000">
        <w:rPr>
          <w:b w:val="1"/>
          <w:sz w:val="24"/>
          <w:szCs w:val="24"/>
          <w:rtl w:val="0"/>
        </w:rPr>
        <w:t xml:space="preserve">Co-expression modular analysis</w:t>
      </w:r>
    </w:p>
    <w:p w:rsidR="00000000" w:rsidDel="00000000" w:rsidP="00000000" w:rsidRDefault="00000000" w:rsidRPr="00000000" w14:paraId="0000001F">
      <w:pPr>
        <w:pStyle w:val="Heading2"/>
        <w:keepNext w:val="0"/>
        <w:keepLines w:val="0"/>
        <w:widowControl w:val="0"/>
        <w:spacing w:after="0" w:before="0" w:line="480" w:lineRule="auto"/>
        <w:jc w:val="both"/>
        <w:rPr>
          <w:sz w:val="24"/>
          <w:szCs w:val="24"/>
        </w:rPr>
      </w:pPr>
      <w:r w:rsidDel="00000000" w:rsidR="00000000" w:rsidRPr="00000000">
        <w:rPr>
          <w:sz w:val="24"/>
          <w:szCs w:val="24"/>
          <w:rtl w:val="0"/>
        </w:rPr>
        <w:t xml:space="preserve">To get the knowledge of genes and lncRNAs that are co-expressed and to understand the biological processes linked we used CEMiTool [</w:t>
      </w:r>
      <w:hyperlink r:id="rId24">
        <w:r w:rsidDel="00000000" w:rsidR="00000000" w:rsidRPr="00000000">
          <w:rPr>
            <w:b w:val="0"/>
            <w:color w:val="000000"/>
            <w:sz w:val="24"/>
            <w:szCs w:val="24"/>
            <w:u w:val="none"/>
            <w:rtl w:val="0"/>
          </w:rPr>
          <w:t xml:space="preserve">16</w:t>
        </w:r>
      </w:hyperlink>
      <w:r w:rsidDel="00000000" w:rsidR="00000000" w:rsidRPr="00000000">
        <w:rPr>
          <w:sz w:val="24"/>
          <w:szCs w:val="24"/>
          <w:rtl w:val="0"/>
        </w:rPr>
        <w:t xml:space="preserve">]</w:t>
      </w:r>
      <w:r w:rsidDel="00000000" w:rsidR="00000000" w:rsidRPr="00000000">
        <w:rPr>
          <w:color w:val="000000"/>
          <w:sz w:val="24"/>
          <w:szCs w:val="24"/>
          <w:rtl w:val="0"/>
        </w:rPr>
        <w:t xml:space="preserve">,</w:t>
      </w:r>
      <w:r w:rsidDel="00000000" w:rsidR="00000000" w:rsidRPr="00000000">
        <w:rPr>
          <w:sz w:val="24"/>
          <w:szCs w:val="24"/>
          <w:rtl w:val="0"/>
        </w:rPr>
        <w:t xml:space="preserve"> a systems biology method that identifies co-expression gene modules. We also used CEMiTool to perform comprehensive modular analyses, including: gene set enrichment analysis (GSEA) within samples, modules and cell types; functional enrichment analysis of modules (using </w:t>
      </w:r>
      <w:r w:rsidDel="00000000" w:rsidR="00000000" w:rsidRPr="00000000">
        <w:rPr>
          <w:color w:val="0070c0"/>
          <w:sz w:val="24"/>
          <w:szCs w:val="24"/>
          <w:rtl w:val="0"/>
        </w:rPr>
        <w:t xml:space="preserve">Supplementary Dataset 1</w:t>
      </w:r>
      <w:r w:rsidDel="00000000" w:rsidR="00000000" w:rsidRPr="00000000">
        <w:rPr>
          <w:sz w:val="24"/>
          <w:szCs w:val="24"/>
          <w:rtl w:val="0"/>
        </w:rPr>
        <w:t xml:space="preserve">); and integrate co-expression results with protein-protein interaction data (using </w:t>
      </w:r>
      <w:r w:rsidDel="00000000" w:rsidR="00000000" w:rsidRPr="00000000">
        <w:rPr>
          <w:color w:val="0070c0"/>
          <w:sz w:val="24"/>
          <w:szCs w:val="24"/>
          <w:rtl w:val="0"/>
        </w:rPr>
        <w:t xml:space="preserve">Supplementary Dataset 2</w:t>
      </w:r>
      <w:r w:rsidDel="00000000" w:rsidR="00000000" w:rsidRPr="00000000">
        <w:rPr>
          <w:sz w:val="24"/>
          <w:szCs w:val="24"/>
          <w:rtl w:val="0"/>
        </w:rPr>
        <w:t xml:space="preserve">). It allowed us to identify functional categories of protein-coding genes co-expressed with lncRNAs and identify those lncRNAs which were associated with the modules that were enriched in heart development processes.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keepNext w:val="0"/>
        <w:keepLines w:val="0"/>
        <w:widowControl w:val="0"/>
        <w:spacing w:after="0" w:before="0" w:line="480" w:lineRule="auto"/>
        <w:jc w:val="both"/>
        <w:rPr>
          <w:b w:val="1"/>
          <w:sz w:val="24"/>
          <w:szCs w:val="24"/>
        </w:rPr>
      </w:pPr>
      <w:bookmarkStart w:colFirst="0" w:colLast="0" w:name="_2et92p0" w:id="4"/>
      <w:bookmarkEnd w:id="4"/>
      <w:r w:rsidDel="00000000" w:rsidR="00000000" w:rsidRPr="00000000">
        <w:rPr>
          <w:b w:val="1"/>
          <w:sz w:val="24"/>
          <w:szCs w:val="24"/>
          <w:rtl w:val="0"/>
        </w:rPr>
        <w:t xml:space="preserve">Cardiomyocyte sub-populations differential expression and functional enrichment analysis</w:t>
      </w:r>
    </w:p>
    <w:p w:rsidR="00000000" w:rsidDel="00000000" w:rsidP="00000000" w:rsidRDefault="00000000" w:rsidRPr="00000000" w14:paraId="00000022">
      <w:pPr>
        <w:pStyle w:val="Heading2"/>
        <w:keepNext w:val="0"/>
        <w:keepLines w:val="0"/>
        <w:widowControl w:val="0"/>
        <w:spacing w:after="0" w:before="0" w:line="480" w:lineRule="auto"/>
        <w:jc w:val="both"/>
        <w:rPr>
          <w:sz w:val="24"/>
          <w:szCs w:val="24"/>
        </w:rPr>
      </w:pPr>
      <w:r w:rsidDel="00000000" w:rsidR="00000000" w:rsidRPr="00000000">
        <w:rPr>
          <w:sz w:val="24"/>
          <w:szCs w:val="24"/>
          <w:rtl w:val="0"/>
        </w:rPr>
        <w:t xml:space="preserve">To identify the biological variation between cardiomyocyte sub-populations, we performed differential expression (DE) analysis among sub-populations in each time point and chamber in which two types of cardiomyocytes were identified: ventricle E9.5; left ventricle E11.5; right ventricle E14.5; and left atrium P0. DE transcripts were determined using Cuffdiff, from Cufflinks [</w:t>
      </w:r>
      <w:hyperlink r:id="rId25">
        <w:r w:rsidDel="00000000" w:rsidR="00000000" w:rsidRPr="00000000">
          <w:rPr>
            <w:b w:val="0"/>
            <w:color w:val="000000"/>
            <w:sz w:val="24"/>
            <w:szCs w:val="24"/>
            <w:u w:val="none"/>
            <w:rtl w:val="0"/>
          </w:rPr>
          <w:t xml:space="preserve">17</w:t>
        </w:r>
      </w:hyperlink>
      <w:r w:rsidDel="00000000" w:rsidR="00000000" w:rsidRPr="00000000">
        <w:rPr>
          <w:sz w:val="24"/>
          <w:szCs w:val="24"/>
          <w:rtl w:val="0"/>
        </w:rPr>
        <w:t xml:space="preserve">]</w:t>
      </w:r>
      <w:r w:rsidDel="00000000" w:rsidR="00000000" w:rsidRPr="00000000">
        <w:rPr>
          <w:sz w:val="24"/>
          <w:szCs w:val="24"/>
          <w:rtl w:val="0"/>
        </w:rPr>
        <w:t xml:space="preserve">. Transcripts were considered as statistically DE when presenting fold-change and p-value cut-offs of 1.5 and 0.05, respectively. Functional overrepresentation analyses of DE transcripts were performed using different databases available in the EnrichR web tool [</w:t>
      </w:r>
      <w:hyperlink r:id="rId26">
        <w:r w:rsidDel="00000000" w:rsidR="00000000" w:rsidRPr="00000000">
          <w:rPr>
            <w:b w:val="0"/>
            <w:color w:val="000000"/>
            <w:sz w:val="24"/>
            <w:szCs w:val="24"/>
            <w:u w:val="none"/>
            <w:rtl w:val="0"/>
          </w:rPr>
          <w:t xml:space="preserve">18</w:t>
        </w:r>
      </w:hyperlink>
      <w:r w:rsidDel="00000000" w:rsidR="00000000" w:rsidRPr="00000000">
        <w:rPr>
          <w:sz w:val="24"/>
          <w:szCs w:val="24"/>
          <w:rtl w:val="0"/>
        </w:rPr>
        <w:t xml:space="preserve">]</w:t>
      </w:r>
      <w:r w:rsidDel="00000000" w:rsidR="00000000" w:rsidRPr="00000000">
        <w:rPr>
          <w:sz w:val="24"/>
          <w:szCs w:val="24"/>
          <w:rtl w:val="0"/>
        </w:rPr>
        <w:t xml:space="preserve">, using a corrected p-value cut-off of 0.05, and considering the databases Gene Ontology Biological Process [</w:t>
      </w:r>
      <w:hyperlink r:id="rId27">
        <w:r w:rsidDel="00000000" w:rsidR="00000000" w:rsidRPr="00000000">
          <w:rPr>
            <w:b w:val="0"/>
            <w:color w:val="000000"/>
            <w:sz w:val="24"/>
            <w:szCs w:val="24"/>
            <w:u w:val="none"/>
            <w:rtl w:val="0"/>
          </w:rPr>
          <w:t xml:space="preserve">19</w:t>
        </w:r>
      </w:hyperlink>
      <w:r w:rsidDel="00000000" w:rsidR="00000000" w:rsidRPr="00000000">
        <w:rPr>
          <w:sz w:val="24"/>
          <w:szCs w:val="24"/>
          <w:rtl w:val="0"/>
        </w:rPr>
        <w:t xml:space="preserve">]</w:t>
      </w:r>
      <w:r w:rsidDel="00000000" w:rsidR="00000000" w:rsidRPr="00000000">
        <w:rPr>
          <w:sz w:val="24"/>
          <w:szCs w:val="24"/>
          <w:rtl w:val="0"/>
        </w:rPr>
        <w:t xml:space="preserve">, KEGG pathways [</w:t>
      </w:r>
      <w:hyperlink r:id="rId28">
        <w:r w:rsidDel="00000000" w:rsidR="00000000" w:rsidRPr="00000000">
          <w:rPr>
            <w:b w:val="0"/>
            <w:color w:val="000000"/>
            <w:sz w:val="24"/>
            <w:szCs w:val="24"/>
            <w:u w:val="none"/>
            <w:rtl w:val="0"/>
          </w:rPr>
          <w:t xml:space="preserve">20</w:t>
        </w:r>
      </w:hyperlink>
      <w:r w:rsidDel="00000000" w:rsidR="00000000" w:rsidRPr="00000000">
        <w:rPr>
          <w:sz w:val="24"/>
          <w:szCs w:val="24"/>
          <w:rtl w:val="0"/>
        </w:rPr>
        <w:t xml:space="preserve">]</w:t>
      </w:r>
      <w:r w:rsidDel="00000000" w:rsidR="00000000" w:rsidRPr="00000000">
        <w:rPr>
          <w:sz w:val="24"/>
          <w:szCs w:val="24"/>
          <w:rtl w:val="0"/>
        </w:rPr>
        <w:t xml:space="preserve"> and Jensen Diseases [</w:t>
      </w:r>
      <w:hyperlink r:id="rId29">
        <w:r w:rsidDel="00000000" w:rsidR="00000000" w:rsidRPr="00000000">
          <w:rPr>
            <w:b w:val="0"/>
            <w:color w:val="000000"/>
            <w:sz w:val="24"/>
            <w:szCs w:val="24"/>
            <w:u w:val="none"/>
            <w:rtl w:val="0"/>
          </w:rPr>
          <w:t xml:space="preserve">21</w:t>
        </w:r>
      </w:hyperlink>
      <w:r w:rsidDel="00000000" w:rsidR="00000000" w:rsidRPr="00000000">
        <w:rPr>
          <w:sz w:val="24"/>
          <w:szCs w:val="24"/>
          <w:rtl w:val="0"/>
        </w:rPr>
        <w:t xml:space="preserve">]</w:t>
      </w:r>
      <w:r w:rsidDel="00000000" w:rsidR="00000000" w:rsidRPr="00000000">
        <w:rPr>
          <w:sz w:val="24"/>
          <w:szCs w:val="24"/>
          <w:rtl w:val="0"/>
        </w:rPr>
        <w:t xml:space="preserve">.</w:t>
      </w:r>
    </w:p>
    <w:p w:rsidR="00000000" w:rsidDel="00000000" w:rsidP="00000000" w:rsidRDefault="00000000" w:rsidRPr="00000000" w14:paraId="00000023">
      <w:pPr>
        <w:spacing w:line="480" w:lineRule="auto"/>
        <w:rPr>
          <w:sz w:val="24"/>
          <w:szCs w:val="24"/>
        </w:rPr>
      </w:pPr>
      <w:r w:rsidDel="00000000" w:rsidR="00000000" w:rsidRPr="00000000">
        <w:rPr>
          <w:rtl w:val="0"/>
        </w:rPr>
      </w:r>
    </w:p>
    <w:p w:rsidR="00000000" w:rsidDel="00000000" w:rsidP="00000000" w:rsidRDefault="00000000" w:rsidRPr="00000000" w14:paraId="00000024">
      <w:pPr>
        <w:widowControl w:val="0"/>
        <w:spacing w:line="480" w:lineRule="auto"/>
        <w:rPr>
          <w:b w:val="1"/>
          <w:sz w:val="24"/>
          <w:szCs w:val="24"/>
        </w:rPr>
      </w:pPr>
      <w:r w:rsidDel="00000000" w:rsidR="00000000" w:rsidRPr="00000000">
        <w:rPr>
          <w:b w:val="1"/>
          <w:sz w:val="24"/>
          <w:szCs w:val="24"/>
          <w:rtl w:val="0"/>
        </w:rPr>
        <w:t xml:space="preserve">REFERENCES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w:t>
        <w:tab/>
      </w:r>
      <w:hyperlink r:id="rId30">
        <w:r w:rsidDel="00000000" w:rsidR="00000000" w:rsidRPr="00000000">
          <w:rPr>
            <w:b w:val="0"/>
            <w:i w:val="0"/>
            <w:color w:val="000000"/>
            <w:sz w:val="24"/>
            <w:szCs w:val="24"/>
            <w:u w:val="none"/>
            <w:rtl w:val="0"/>
          </w:rPr>
          <w:t xml:space="preserve">DeLaughter DM, Bick AG, Wakimoto H, McKean D, Gorham JM, Kathiriya IS, et al. Single-Cell Resolution of Temporal Gene Expression during Heart Development. Dev Cell. 2016 Nov 21;39(4):480–90.</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2.</w:t>
        <w:tab/>
      </w:r>
      <w:hyperlink r:id="rId31">
        <w:r w:rsidDel="00000000" w:rsidR="00000000" w:rsidRPr="00000000">
          <w:rPr>
            <w:b w:val="0"/>
            <w:i w:val="0"/>
            <w:color w:val="000000"/>
            <w:sz w:val="24"/>
            <w:szCs w:val="24"/>
            <w:u w:val="none"/>
            <w:rtl w:val="0"/>
          </w:rPr>
          <w:t xml:space="preserve">Amaral PP, Leonardi T, Han N, Viré E, Gascoigne DK, Arias-Carrasco R, et al. Genomic positional conservation identifies topological anchor point RNAs linked to developmental loci. Genome Biol. 2018 Mar 15;19(1):32.</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3.</w:t>
        <w:tab/>
      </w:r>
      <w:hyperlink r:id="rId32">
        <w:r w:rsidDel="00000000" w:rsidR="00000000" w:rsidRPr="00000000">
          <w:rPr>
            <w:b w:val="0"/>
            <w:i w:val="0"/>
            <w:color w:val="000000"/>
            <w:sz w:val="24"/>
            <w:szCs w:val="24"/>
            <w:u w:val="none"/>
            <w:rtl w:val="0"/>
          </w:rPr>
          <w:t xml:space="preserve">Babraham Bioinformatics - FastQC A Quality Control tool for High Throughput Sequence Data [Internet]. [cited 2019 Oct 29]. Available from: </w:t>
        </w:r>
      </w:hyperlink>
      <w:hyperlink r:id="rId33">
        <w:r w:rsidDel="00000000" w:rsidR="00000000" w:rsidRPr="00000000">
          <w:rPr>
            <w:b w:val="0"/>
            <w:i w:val="0"/>
            <w:color w:val="000000"/>
            <w:sz w:val="24"/>
            <w:szCs w:val="24"/>
            <w:u w:val="none"/>
            <w:rtl w:val="0"/>
          </w:rPr>
          <w:t xml:space="preserve">http://www.bioinformatics.babraham.ac.uk/projects/fastqc/</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4.</w:t>
        <w:tab/>
      </w:r>
      <w:hyperlink r:id="rId34">
        <w:r w:rsidDel="00000000" w:rsidR="00000000" w:rsidRPr="00000000">
          <w:rPr>
            <w:b w:val="0"/>
            <w:i w:val="0"/>
            <w:color w:val="000000"/>
            <w:sz w:val="24"/>
            <w:szCs w:val="24"/>
            <w:u w:val="none"/>
            <w:rtl w:val="0"/>
          </w:rPr>
          <w:t xml:space="preserve">Andrews S. FastQC: a quality control tool for high throughput sequence data http://www. bioinformatics. babraham. ac. uk/projects/fastqc. J Exp Med.</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5.</w:t>
        <w:tab/>
      </w:r>
      <w:hyperlink r:id="rId35">
        <w:r w:rsidDel="00000000" w:rsidR="00000000" w:rsidRPr="00000000">
          <w:rPr>
            <w:b w:val="0"/>
            <w:i w:val="0"/>
            <w:color w:val="000000"/>
            <w:sz w:val="24"/>
            <w:szCs w:val="24"/>
            <w:u w:val="none"/>
            <w:rtl w:val="0"/>
          </w:rPr>
          <w:t xml:space="preserve">Bolger AM, Lohse M, Usadel B. Trimmomatic: a flexible trimmer for Illumina sequence data. Bioinformatics. 2014 Aug 1;30(15):2114–20.</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6.</w:t>
        <w:tab/>
      </w:r>
      <w:hyperlink r:id="rId36">
        <w:r w:rsidDel="00000000" w:rsidR="00000000" w:rsidRPr="00000000">
          <w:rPr>
            <w:b w:val="0"/>
            <w:i w:val="0"/>
            <w:color w:val="000000"/>
            <w:sz w:val="24"/>
            <w:szCs w:val="24"/>
            <w:u w:val="none"/>
            <w:rtl w:val="0"/>
          </w:rPr>
          <w:t xml:space="preserve">Kim D, Paggi JM, Park C, Bennett C, Salzberg SL. Graph-based genome alignment and genotyping with HISAT2 and HISAT-genotype. Nat Biotechnol. 2019 Aug 2;37(8):907–15.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7.</w:t>
        <w:tab/>
      </w:r>
      <w:hyperlink r:id="rId37">
        <w:r w:rsidDel="00000000" w:rsidR="00000000" w:rsidRPr="00000000">
          <w:rPr>
            <w:b w:val="0"/>
            <w:i w:val="0"/>
            <w:color w:val="000000"/>
            <w:sz w:val="24"/>
            <w:szCs w:val="24"/>
            <w:u w:val="none"/>
            <w:rtl w:val="0"/>
          </w:rPr>
          <w:t xml:space="preserve">Li H, Handsaker B, Wysoker A, Fennell T, Ruan J, Homer N, et al. The Sequence Alignment/Map format and SAMtools. Bioinformatics. 2009;25(16):2078–9.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8.</w:t>
        <w:tab/>
      </w:r>
      <w:hyperlink r:id="rId38">
        <w:r w:rsidDel="00000000" w:rsidR="00000000" w:rsidRPr="00000000">
          <w:rPr>
            <w:b w:val="0"/>
            <w:i w:val="0"/>
            <w:color w:val="000000"/>
            <w:sz w:val="24"/>
            <w:szCs w:val="24"/>
            <w:u w:val="none"/>
            <w:rtl w:val="0"/>
          </w:rPr>
          <w:t xml:space="preserve">Trapnell C, Williams BA, Pertea G, Mortazavi A, Kwan G, van Baren MJ, et al. Transcript assembly and quantification by RNA-Seq reveals unannotated transcripts and isoform switching during cell differentiation. Nat Biotechnol. 201</w:t>
        </w:r>
      </w:hyperlink>
      <w:hyperlink r:id="rId39">
        <w:r w:rsidDel="00000000" w:rsidR="00000000" w:rsidRPr="00000000">
          <w:rPr>
            <w:sz w:val="24"/>
            <w:szCs w:val="24"/>
            <w:rtl w:val="0"/>
          </w:rPr>
          <w:t xml:space="preserve">0</w:t>
        </w:r>
      </w:hyperlink>
      <w:hyperlink r:id="rId40">
        <w:r w:rsidDel="00000000" w:rsidR="00000000" w:rsidRPr="00000000">
          <w:rPr>
            <w:b w:val="0"/>
            <w:i w:val="0"/>
            <w:color w:val="000000"/>
            <w:sz w:val="24"/>
            <w:szCs w:val="24"/>
            <w:u w:val="none"/>
            <w:rtl w:val="0"/>
          </w:rPr>
          <w:t xml:space="preserve">;28(5):511–5.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9.</w:t>
        <w:tab/>
      </w:r>
      <w:hyperlink r:id="rId41">
        <w:r w:rsidDel="00000000" w:rsidR="00000000" w:rsidRPr="00000000">
          <w:rPr>
            <w:b w:val="0"/>
            <w:i w:val="0"/>
            <w:color w:val="000000"/>
            <w:sz w:val="24"/>
            <w:szCs w:val="24"/>
            <w:u w:val="none"/>
            <w:rtl w:val="0"/>
          </w:rPr>
          <w:t xml:space="preserve">Saelens W, Cannoodt R, Todorov H, Saeys Y. A comparison of single-cell trajectory inference methods. Nat Biotechnol. 2019;37(5):547–54.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10.</w:t>
        <w:tab/>
      </w:r>
      <w:hyperlink r:id="rId42">
        <w:r w:rsidDel="00000000" w:rsidR="00000000" w:rsidRPr="00000000">
          <w:rPr>
            <w:b w:val="0"/>
            <w:i w:val="0"/>
            <w:color w:val="000000"/>
            <w:sz w:val="24"/>
            <w:szCs w:val="24"/>
            <w:u w:val="none"/>
            <w:rtl w:val="0"/>
          </w:rPr>
          <w:t xml:space="preserve">Carter RA, Bihannic L, Rosencrance C, Hadley JL, Tong Y, Phoenix TN, et al. A Single-Cell Transcriptional Atlas of the Developing Murine Cerebellum. Curr Biol. 2018;28(18):2910–20.e2.</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11.</w:t>
        <w:tab/>
      </w:r>
      <w:hyperlink r:id="rId43">
        <w:r w:rsidDel="00000000" w:rsidR="00000000" w:rsidRPr="00000000">
          <w:rPr>
            <w:b w:val="0"/>
            <w:i w:val="0"/>
            <w:color w:val="000000"/>
            <w:sz w:val="24"/>
            <w:szCs w:val="24"/>
            <w:u w:val="none"/>
            <w:rtl w:val="0"/>
          </w:rPr>
          <w:t xml:space="preserve">Andrews TS, Hemberg M. M3Drop: dropout-based feature selection for scRNASeq. Bioinformatics. 2019 Aug 15;35(16):2865–7.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12.</w:t>
        <w:tab/>
      </w:r>
      <w:hyperlink r:id="rId44">
        <w:r w:rsidDel="00000000" w:rsidR="00000000" w:rsidRPr="00000000">
          <w:rPr>
            <w:b w:val="0"/>
            <w:i w:val="0"/>
            <w:color w:val="000000"/>
            <w:sz w:val="24"/>
            <w:szCs w:val="24"/>
            <w:u w:val="none"/>
            <w:rtl w:val="0"/>
          </w:rPr>
          <w:t xml:space="preserve">Rousseeuw PJ. Silhouettes: A graphical aid to the interpretation and validation of cluster analysis. J Comput Appl Math. 1987;20:53–65.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13.</w:t>
        <w:tab/>
      </w:r>
      <w:hyperlink r:id="rId45">
        <w:r w:rsidDel="00000000" w:rsidR="00000000" w:rsidRPr="00000000">
          <w:rPr>
            <w:b w:val="0"/>
            <w:i w:val="0"/>
            <w:color w:val="000000"/>
            <w:sz w:val="24"/>
            <w:szCs w:val="24"/>
            <w:u w:val="none"/>
            <w:rtl w:val="0"/>
          </w:rPr>
          <w:t xml:space="preserve">Gladka MM, Molenaar B, de Ruiter H, van der Elst S, Tsui H, Versteeg D, et al. Single-Cell Sequencing of the Healthy and Diseased Heart Reveals Cytoskeleton-Associated Protein 4 as a New Modulator of Fibroblasts Activation. Circulation. 2018;138(2):166–80.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14.</w:t>
        <w:tab/>
      </w:r>
      <w:hyperlink r:id="rId46">
        <w:r w:rsidDel="00000000" w:rsidR="00000000" w:rsidRPr="00000000">
          <w:rPr>
            <w:b w:val="0"/>
            <w:i w:val="0"/>
            <w:color w:val="000000"/>
            <w:sz w:val="24"/>
            <w:szCs w:val="24"/>
            <w:u w:val="none"/>
            <w:rtl w:val="0"/>
          </w:rPr>
          <w:t xml:space="preserve">Farbehi N, Patrick R, Dorison A, Xaymardan M, Janbandhu V, Wystub-Lis K, et al. Single-cell expression profiling reveals dynamic flux of cardiac stromal, vascular and immune cells in health and injury. 2019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15.</w:t>
        <w:tab/>
      </w:r>
      <w:hyperlink r:id="rId47">
        <w:r w:rsidDel="00000000" w:rsidR="00000000" w:rsidRPr="00000000">
          <w:rPr>
            <w:b w:val="0"/>
            <w:i w:val="0"/>
            <w:color w:val="000000"/>
            <w:sz w:val="24"/>
            <w:szCs w:val="24"/>
            <w:u w:val="none"/>
            <w:rtl w:val="0"/>
          </w:rPr>
          <w:t xml:space="preserve">Franzén O, Gan LM, Björkegren JLM. PanglaoDB: a web server for exploration of mouse and human single-cell RNA sequencing data. Database. 2019;2019</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16.</w:t>
        <w:tab/>
      </w:r>
      <w:hyperlink r:id="rId48">
        <w:r w:rsidDel="00000000" w:rsidR="00000000" w:rsidRPr="00000000">
          <w:rPr>
            <w:b w:val="0"/>
            <w:i w:val="0"/>
            <w:color w:val="000000"/>
            <w:sz w:val="24"/>
            <w:szCs w:val="24"/>
            <w:u w:val="none"/>
            <w:rtl w:val="0"/>
          </w:rPr>
          <w:t xml:space="preserve">Russo PST, Ferreira GR, Cardozo LE, Bürger MC, Arias-Carrasco R, Maruyama SR, et al. CEMiTool: a Bioconductor package for performing comprehensive modular co-expression analyses. BMC Bioinformatics. 2018;19(1):56.</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17.</w:t>
        <w:tab/>
      </w:r>
      <w:hyperlink r:id="rId49">
        <w:r w:rsidDel="00000000" w:rsidR="00000000" w:rsidRPr="00000000">
          <w:rPr>
            <w:b w:val="0"/>
            <w:i w:val="0"/>
            <w:color w:val="000000"/>
            <w:sz w:val="24"/>
            <w:szCs w:val="24"/>
            <w:u w:val="none"/>
            <w:rtl w:val="0"/>
          </w:rPr>
          <w:t xml:space="preserve">Trapnell C, Hendrickson DG, Sauvageau M, Goff L, Rinn JL, Pachter L. Differential analysis of gene regulation at transcript resolution with RNA-seq. Nat Biotechnol. 2012;31(1):46–53.</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18.</w:t>
        <w:tab/>
      </w:r>
      <w:hyperlink r:id="rId50">
        <w:r w:rsidDel="00000000" w:rsidR="00000000" w:rsidRPr="00000000">
          <w:rPr>
            <w:b w:val="0"/>
            <w:i w:val="0"/>
            <w:color w:val="000000"/>
            <w:sz w:val="24"/>
            <w:szCs w:val="24"/>
            <w:u w:val="none"/>
            <w:rtl w:val="0"/>
          </w:rPr>
          <w:t xml:space="preserve">Kuleshov MV, Jones MR, Rouillard AD, Fernandez NF, Duan Q, Wang Z, et al. Enrichr: a comprehensive gene set enrichment analysis web server 2016 update. Nucleic Acids Res. 2016;44(W1).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19.</w:t>
        <w:tab/>
      </w:r>
      <w:hyperlink r:id="rId51">
        <w:r w:rsidDel="00000000" w:rsidR="00000000" w:rsidRPr="00000000">
          <w:rPr>
            <w:b w:val="0"/>
            <w:i w:val="0"/>
            <w:color w:val="000000"/>
            <w:sz w:val="24"/>
            <w:szCs w:val="24"/>
            <w:u w:val="none"/>
            <w:rtl w:val="0"/>
          </w:rPr>
          <w:t xml:space="preserve">Mi H, Muruganujan A, Ebert D, Huang X, Thomas PD. PANTHER version 14: more genomes, a new PANTHER GO-slim and improvements in enrichment analysis tools [Internet]. Vol. 47, Nucleic Acids Research. 2019. p. D419–26.</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0"/>
          <w:i w:val="0"/>
          <w:color w:val="000000"/>
          <w:sz w:val="24"/>
          <w:szCs w:val="24"/>
        </w:rPr>
      </w:pPr>
      <w:r w:rsidDel="00000000" w:rsidR="00000000" w:rsidRPr="00000000">
        <w:rPr>
          <w:b w:val="0"/>
          <w:i w:val="0"/>
          <w:color w:val="000000"/>
          <w:sz w:val="24"/>
          <w:szCs w:val="24"/>
          <w:rtl w:val="0"/>
        </w:rPr>
        <w:t xml:space="preserve">20.</w:t>
        <w:tab/>
      </w:r>
      <w:hyperlink r:id="rId52">
        <w:r w:rsidDel="00000000" w:rsidR="00000000" w:rsidRPr="00000000">
          <w:rPr>
            <w:b w:val="0"/>
            <w:i w:val="0"/>
            <w:color w:val="000000"/>
            <w:sz w:val="24"/>
            <w:szCs w:val="24"/>
            <w:u w:val="none"/>
            <w:rtl w:val="0"/>
          </w:rPr>
          <w:t xml:space="preserve">Kanehisa M, Goto S. KEGG: Kyoto Encyclopedia of Genes and Genomes. Nucleic Acids Res. 2000;28(1):27–30.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80" w:right="0" w:hanging="480"/>
        <w:jc w:val="both"/>
        <w:rPr>
          <w:b w:val="1"/>
          <w:sz w:val="24"/>
          <w:szCs w:val="24"/>
        </w:rPr>
      </w:pPr>
      <w:r w:rsidDel="00000000" w:rsidR="00000000" w:rsidRPr="00000000">
        <w:rPr>
          <w:b w:val="0"/>
          <w:i w:val="0"/>
          <w:color w:val="000000"/>
          <w:sz w:val="24"/>
          <w:szCs w:val="24"/>
          <w:rtl w:val="0"/>
        </w:rPr>
        <w:t xml:space="preserve">21.</w:t>
        <w:tab/>
      </w:r>
      <w:hyperlink r:id="rId53">
        <w:r w:rsidDel="00000000" w:rsidR="00000000" w:rsidRPr="00000000">
          <w:rPr>
            <w:b w:val="0"/>
            <w:i w:val="0"/>
            <w:color w:val="000000"/>
            <w:sz w:val="24"/>
            <w:szCs w:val="24"/>
            <w:u w:val="none"/>
            <w:rtl w:val="0"/>
          </w:rPr>
          <w:t xml:space="preserve">Grissa D, Junge A, Oprea TI, Jensen LJ. Diseases 2.0: a weekly updated database of disease-gene associations from text mining and data integration. Database. 2022;2022.</w:t>
        </w:r>
      </w:hyperlink>
      <w:r w:rsidDel="00000000" w:rsidR="00000000" w:rsidRPr="00000000">
        <w:rPr>
          <w:rtl w:val="0"/>
        </w:rPr>
      </w:r>
    </w:p>
    <w:sectPr>
      <w:footerReference r:id="rId5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dvOT46dcae81"/>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wGBUhw/qJTo" TargetMode="External"/><Relationship Id="rId42" Type="http://schemas.openxmlformats.org/officeDocument/2006/relationships/hyperlink" Target="http://paperpile.com/b/wGBUhw/dwC8E" TargetMode="External"/><Relationship Id="rId41" Type="http://schemas.openxmlformats.org/officeDocument/2006/relationships/hyperlink" Target="http://paperpile.com/b/wGBUhw/OZQbM" TargetMode="External"/><Relationship Id="rId44" Type="http://schemas.openxmlformats.org/officeDocument/2006/relationships/hyperlink" Target="http://paperpile.com/b/wGBUhw/lTIQ7" TargetMode="External"/><Relationship Id="rId43" Type="http://schemas.openxmlformats.org/officeDocument/2006/relationships/hyperlink" Target="http://paperpile.com/b/wGBUhw/JqZTq" TargetMode="External"/><Relationship Id="rId46" Type="http://schemas.openxmlformats.org/officeDocument/2006/relationships/hyperlink" Target="http://paperpile.com/b/wGBUhw/hIma5" TargetMode="External"/><Relationship Id="rId45" Type="http://schemas.openxmlformats.org/officeDocument/2006/relationships/hyperlink" Target="http://paperpile.com/b/wGBUhw/KHKq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wGBUhw/u5rgI+zbZc" TargetMode="External"/><Relationship Id="rId48" Type="http://schemas.openxmlformats.org/officeDocument/2006/relationships/hyperlink" Target="http://paperpile.com/b/wGBUhw/Ic8Ml" TargetMode="External"/><Relationship Id="rId47" Type="http://schemas.openxmlformats.org/officeDocument/2006/relationships/hyperlink" Target="http://paperpile.com/b/wGBUhw/rwpmr" TargetMode="External"/><Relationship Id="rId49" Type="http://schemas.openxmlformats.org/officeDocument/2006/relationships/hyperlink" Target="http://paperpile.com/b/wGBUhw/dqWA1" TargetMode="External"/><Relationship Id="rId5" Type="http://schemas.openxmlformats.org/officeDocument/2006/relationships/styles" Target="styles.xml"/><Relationship Id="rId6" Type="http://schemas.openxmlformats.org/officeDocument/2006/relationships/hyperlink" Target="https://paperpile.com/c/wGBUhw/qQDwd" TargetMode="External"/><Relationship Id="rId7" Type="http://schemas.openxmlformats.org/officeDocument/2006/relationships/hyperlink" Target="https://paperpile.com/c/wGBUhw/oXDnf" TargetMode="External"/><Relationship Id="rId8" Type="http://schemas.openxmlformats.org/officeDocument/2006/relationships/hyperlink" Target="https://paperpile.com/c/wGBUhw/oXDnf" TargetMode="External"/><Relationship Id="rId31" Type="http://schemas.openxmlformats.org/officeDocument/2006/relationships/hyperlink" Target="http://paperpile.com/b/wGBUhw/oXDnf" TargetMode="External"/><Relationship Id="rId30" Type="http://schemas.openxmlformats.org/officeDocument/2006/relationships/hyperlink" Target="http://paperpile.com/b/wGBUhw/qQDwd" TargetMode="External"/><Relationship Id="rId33" Type="http://schemas.openxmlformats.org/officeDocument/2006/relationships/hyperlink" Target="http://www.bioinformatics.babraham.ac.uk/projects/fastqc/" TargetMode="External"/><Relationship Id="rId32" Type="http://schemas.openxmlformats.org/officeDocument/2006/relationships/hyperlink" Target="http://paperpile.com/b/wGBUhw/u5rgI" TargetMode="External"/><Relationship Id="rId35" Type="http://schemas.openxmlformats.org/officeDocument/2006/relationships/hyperlink" Target="http://paperpile.com/b/wGBUhw/o8rVQ" TargetMode="External"/><Relationship Id="rId34" Type="http://schemas.openxmlformats.org/officeDocument/2006/relationships/hyperlink" Target="http://paperpile.com/b/wGBUhw/zbZc" TargetMode="External"/><Relationship Id="rId37" Type="http://schemas.openxmlformats.org/officeDocument/2006/relationships/hyperlink" Target="http://paperpile.com/b/wGBUhw/93cF5" TargetMode="External"/><Relationship Id="rId36" Type="http://schemas.openxmlformats.org/officeDocument/2006/relationships/hyperlink" Target="http://paperpile.com/b/wGBUhw/w5mUQ" TargetMode="External"/><Relationship Id="rId39" Type="http://schemas.openxmlformats.org/officeDocument/2006/relationships/hyperlink" Target="http://paperpile.com/b/wGBUhw/qJTo" TargetMode="External"/><Relationship Id="rId38" Type="http://schemas.openxmlformats.org/officeDocument/2006/relationships/hyperlink" Target="http://paperpile.com/b/wGBUhw/qJTo" TargetMode="External"/><Relationship Id="rId20" Type="http://schemas.openxmlformats.org/officeDocument/2006/relationships/hyperlink" Target="https://paperpile.com/c/wGBUhw/hIma5" TargetMode="External"/><Relationship Id="rId22" Type="http://schemas.openxmlformats.org/officeDocument/2006/relationships/hyperlink" Target="https://paperpile.com/c/wGBUhw/qQDwd" TargetMode="External"/><Relationship Id="rId21" Type="http://schemas.openxmlformats.org/officeDocument/2006/relationships/hyperlink" Target="https://paperpile.com/c/wGBUhw/rwpmr" TargetMode="External"/><Relationship Id="rId24" Type="http://schemas.openxmlformats.org/officeDocument/2006/relationships/hyperlink" Target="https://paperpile.com/c/wGBUhw/Ic8Ml" TargetMode="External"/><Relationship Id="rId23" Type="http://schemas.openxmlformats.org/officeDocument/2006/relationships/hyperlink" Target="https://paperpile.com/c/wGBUhw/JqZTq" TargetMode="External"/><Relationship Id="rId26" Type="http://schemas.openxmlformats.org/officeDocument/2006/relationships/hyperlink" Target="https://paperpile.com/c/wGBUhw/PIeMp" TargetMode="External"/><Relationship Id="rId25" Type="http://schemas.openxmlformats.org/officeDocument/2006/relationships/hyperlink" Target="https://paperpile.com/c/wGBUhw/dqWA1" TargetMode="External"/><Relationship Id="rId28" Type="http://schemas.openxmlformats.org/officeDocument/2006/relationships/hyperlink" Target="https://paperpile.com/c/wGBUhw/ZUDSy" TargetMode="External"/><Relationship Id="rId27" Type="http://schemas.openxmlformats.org/officeDocument/2006/relationships/hyperlink" Target="https://paperpile.com/c/wGBUhw/uBd5S" TargetMode="External"/><Relationship Id="rId29" Type="http://schemas.openxmlformats.org/officeDocument/2006/relationships/hyperlink" Target="https://paperpile.com/c/wGBUhw/C8Fy" TargetMode="External"/><Relationship Id="rId51" Type="http://schemas.openxmlformats.org/officeDocument/2006/relationships/hyperlink" Target="http://paperpile.com/b/wGBUhw/uBd5S" TargetMode="External"/><Relationship Id="rId50" Type="http://schemas.openxmlformats.org/officeDocument/2006/relationships/hyperlink" Target="http://paperpile.com/b/wGBUhw/PIeMp" TargetMode="External"/><Relationship Id="rId53" Type="http://schemas.openxmlformats.org/officeDocument/2006/relationships/hyperlink" Target="http://paperpile.com/b/wGBUhw/C8Fy" TargetMode="External"/><Relationship Id="rId52" Type="http://schemas.openxmlformats.org/officeDocument/2006/relationships/hyperlink" Target="http://paperpile.com/b/wGBUhw/ZUDSy" TargetMode="External"/><Relationship Id="rId11" Type="http://schemas.openxmlformats.org/officeDocument/2006/relationships/hyperlink" Target="https://paperpile.com/c/wGBUhw/w5mUQ" TargetMode="External"/><Relationship Id="rId10" Type="http://schemas.openxmlformats.org/officeDocument/2006/relationships/hyperlink" Target="https://paperpile.com/c/wGBUhw/o8rVQ" TargetMode="External"/><Relationship Id="rId54" Type="http://schemas.openxmlformats.org/officeDocument/2006/relationships/footer" Target="footer1.xml"/><Relationship Id="rId13" Type="http://schemas.openxmlformats.org/officeDocument/2006/relationships/hyperlink" Target="https://paperpile.com/c/wGBUhw/qJTo" TargetMode="External"/><Relationship Id="rId12" Type="http://schemas.openxmlformats.org/officeDocument/2006/relationships/hyperlink" Target="https://paperpile.com/c/wGBUhw/93cF5" TargetMode="External"/><Relationship Id="rId15" Type="http://schemas.openxmlformats.org/officeDocument/2006/relationships/hyperlink" Target="https://paperpile.com/c/wGBUhw/OZQbM+dwC8E" TargetMode="External"/><Relationship Id="rId14" Type="http://schemas.openxmlformats.org/officeDocument/2006/relationships/hyperlink" Target="https://paperpile.com/c/wGBUhw/oXDnf" TargetMode="External"/><Relationship Id="rId17" Type="http://schemas.openxmlformats.org/officeDocument/2006/relationships/hyperlink" Target="https://paperpile.com/c/wGBUhw/lTIQ7" TargetMode="External"/><Relationship Id="rId16" Type="http://schemas.openxmlformats.org/officeDocument/2006/relationships/hyperlink" Target="https://paperpile.com/c/wGBUhw/JqZTq" TargetMode="External"/><Relationship Id="rId19" Type="http://schemas.openxmlformats.org/officeDocument/2006/relationships/hyperlink" Target="https://paperpile.com/c/wGBUhw/KHKqR" TargetMode="External"/><Relationship Id="rId18" Type="http://schemas.openxmlformats.org/officeDocument/2006/relationships/hyperlink" Target="https://paperpile.com/c/wGBUhw/qQDw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