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02BD5" w14:textId="27AA7782" w:rsidR="00EA5C7B" w:rsidRPr="00D3393D" w:rsidRDefault="00EA5C7B" w:rsidP="00EA5C7B">
      <w:pPr>
        <w:tabs>
          <w:tab w:val="left" w:pos="1536"/>
        </w:tabs>
        <w:spacing w:line="360" w:lineRule="auto"/>
        <w:jc w:val="both"/>
        <w:rPr>
          <w:rFonts w:ascii="Times New Roman" w:hAnsi="Times New Roman" w:cs="Times New Roman"/>
          <w:b/>
          <w:bCs/>
          <w:sz w:val="40"/>
          <w:szCs w:val="40"/>
        </w:rPr>
      </w:pPr>
      <w:r w:rsidRPr="00D3393D">
        <w:rPr>
          <w:rFonts w:ascii="Times New Roman" w:hAnsi="Times New Roman" w:cs="Times New Roman"/>
          <w:b/>
          <w:bCs/>
          <w:sz w:val="40"/>
          <w:szCs w:val="40"/>
        </w:rPr>
        <w:t xml:space="preserve">Supplementary </w:t>
      </w:r>
      <w:r w:rsidR="00A8688E">
        <w:rPr>
          <w:rFonts w:ascii="Times New Roman" w:hAnsi="Times New Roman" w:cs="Times New Roman"/>
          <w:b/>
          <w:bCs/>
          <w:sz w:val="40"/>
          <w:szCs w:val="40"/>
        </w:rPr>
        <w:t>table</w:t>
      </w:r>
      <w:bookmarkStart w:id="0" w:name="_GoBack"/>
      <w:bookmarkEnd w:id="0"/>
    </w:p>
    <w:tbl>
      <w:tblPr>
        <w:tblW w:w="9270" w:type="dxa"/>
        <w:tblLook w:val="04A0" w:firstRow="1" w:lastRow="0" w:firstColumn="1" w:lastColumn="0" w:noHBand="0" w:noVBand="1"/>
      </w:tblPr>
      <w:tblGrid>
        <w:gridCol w:w="2055"/>
        <w:gridCol w:w="1078"/>
        <w:gridCol w:w="1087"/>
        <w:gridCol w:w="1224"/>
        <w:gridCol w:w="1160"/>
        <w:gridCol w:w="1160"/>
        <w:gridCol w:w="1506"/>
      </w:tblGrid>
      <w:tr w:rsidR="00C56AD7" w:rsidRPr="00784978" w14:paraId="2092D5CB" w14:textId="77777777" w:rsidTr="00D2786F">
        <w:trPr>
          <w:trHeight w:val="510"/>
        </w:trPr>
        <w:tc>
          <w:tcPr>
            <w:tcW w:w="4220" w:type="dxa"/>
            <w:gridSpan w:val="3"/>
            <w:tcBorders>
              <w:top w:val="nil"/>
              <w:left w:val="nil"/>
              <w:bottom w:val="nil"/>
              <w:right w:val="nil"/>
            </w:tcBorders>
            <w:shd w:val="clear" w:color="auto" w:fill="auto"/>
            <w:noWrap/>
            <w:vAlign w:val="center"/>
            <w:hideMark/>
          </w:tcPr>
          <w:p w14:paraId="53AF9251" w14:textId="77777777" w:rsidR="00C56AD7" w:rsidRPr="00784978" w:rsidRDefault="00C56AD7" w:rsidP="00D2786F">
            <w:pPr>
              <w:spacing w:after="0" w:line="240" w:lineRule="auto"/>
              <w:rPr>
                <w:rFonts w:ascii="Calibri" w:eastAsia="Times New Roman" w:hAnsi="Calibri" w:cs="Calibri"/>
                <w:color w:val="000000"/>
              </w:rPr>
            </w:pPr>
            <w:bookmarkStart w:id="1" w:name="_Hlk91518097"/>
            <w:r w:rsidRPr="00784978">
              <w:rPr>
                <w:rFonts w:ascii="Calibri" w:eastAsia="Times New Roman" w:hAnsi="Calibri" w:cs="Calibri"/>
                <w:b/>
                <w:bCs/>
                <w:color w:val="000000"/>
              </w:rPr>
              <w:t xml:space="preserve">Table </w:t>
            </w:r>
            <w:r>
              <w:rPr>
                <w:rFonts w:ascii="Calibri" w:eastAsia="Times New Roman" w:hAnsi="Calibri" w:cs="Calibri"/>
                <w:b/>
                <w:bCs/>
                <w:color w:val="000000"/>
              </w:rPr>
              <w:t>S</w:t>
            </w:r>
            <w:r w:rsidRPr="00784978">
              <w:rPr>
                <w:rFonts w:ascii="Calibri" w:eastAsia="Times New Roman" w:hAnsi="Calibri" w:cs="Calibri"/>
                <w:b/>
                <w:bCs/>
                <w:color w:val="000000"/>
              </w:rPr>
              <w:t xml:space="preserve">1. </w:t>
            </w:r>
            <w:r w:rsidRPr="00784978">
              <w:rPr>
                <w:rFonts w:ascii="Calibri" w:eastAsia="Times New Roman" w:hAnsi="Calibri" w:cs="Calibri"/>
                <w:color w:val="000000"/>
              </w:rPr>
              <w:t>Characteristics of patients</w:t>
            </w:r>
          </w:p>
        </w:tc>
        <w:tc>
          <w:tcPr>
            <w:tcW w:w="1224" w:type="dxa"/>
            <w:tcBorders>
              <w:top w:val="nil"/>
              <w:left w:val="nil"/>
              <w:bottom w:val="nil"/>
              <w:right w:val="nil"/>
            </w:tcBorders>
            <w:shd w:val="clear" w:color="auto" w:fill="auto"/>
            <w:noWrap/>
            <w:vAlign w:val="bottom"/>
            <w:hideMark/>
          </w:tcPr>
          <w:p w14:paraId="118D0013" w14:textId="77777777" w:rsidR="00C56AD7" w:rsidRPr="00784978" w:rsidRDefault="00C56AD7" w:rsidP="00D2786F">
            <w:pPr>
              <w:spacing w:after="0" w:line="240" w:lineRule="auto"/>
              <w:rPr>
                <w:rFonts w:ascii="Calibri" w:eastAsia="Times New Roman" w:hAnsi="Calibri" w:cs="Calibri"/>
                <w:color w:val="000000"/>
              </w:rPr>
            </w:pPr>
          </w:p>
        </w:tc>
        <w:tc>
          <w:tcPr>
            <w:tcW w:w="1160" w:type="dxa"/>
            <w:tcBorders>
              <w:top w:val="nil"/>
              <w:left w:val="nil"/>
              <w:bottom w:val="nil"/>
              <w:right w:val="nil"/>
            </w:tcBorders>
            <w:shd w:val="clear" w:color="auto" w:fill="auto"/>
            <w:noWrap/>
            <w:vAlign w:val="bottom"/>
            <w:hideMark/>
          </w:tcPr>
          <w:p w14:paraId="694899CA" w14:textId="77777777" w:rsidR="00C56AD7" w:rsidRPr="00784978" w:rsidRDefault="00C56AD7" w:rsidP="00D2786F">
            <w:pPr>
              <w:spacing w:after="0" w:line="240" w:lineRule="auto"/>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2140BFC3" w14:textId="77777777" w:rsidR="00C56AD7" w:rsidRPr="00784978" w:rsidRDefault="00C56AD7" w:rsidP="00D2786F">
            <w:pPr>
              <w:spacing w:after="0" w:line="240" w:lineRule="auto"/>
              <w:rPr>
                <w:rFonts w:ascii="Times New Roman" w:eastAsia="Times New Roman" w:hAnsi="Times New Roman" w:cs="Times New Roman"/>
                <w:sz w:val="20"/>
                <w:szCs w:val="20"/>
              </w:rPr>
            </w:pPr>
          </w:p>
        </w:tc>
        <w:tc>
          <w:tcPr>
            <w:tcW w:w="1506" w:type="dxa"/>
            <w:tcBorders>
              <w:top w:val="nil"/>
              <w:left w:val="nil"/>
              <w:bottom w:val="nil"/>
              <w:right w:val="nil"/>
            </w:tcBorders>
            <w:shd w:val="clear" w:color="auto" w:fill="auto"/>
            <w:noWrap/>
            <w:vAlign w:val="bottom"/>
            <w:hideMark/>
          </w:tcPr>
          <w:p w14:paraId="4C096C76" w14:textId="77777777" w:rsidR="00C56AD7" w:rsidRPr="00784978" w:rsidRDefault="00C56AD7" w:rsidP="00D2786F">
            <w:pPr>
              <w:spacing w:after="0" w:line="240" w:lineRule="auto"/>
              <w:rPr>
                <w:rFonts w:ascii="Times New Roman" w:eastAsia="Times New Roman" w:hAnsi="Times New Roman" w:cs="Times New Roman"/>
                <w:sz w:val="20"/>
                <w:szCs w:val="20"/>
              </w:rPr>
            </w:pPr>
          </w:p>
        </w:tc>
      </w:tr>
      <w:tr w:rsidR="00C56AD7" w:rsidRPr="00784978" w14:paraId="40FDBC08" w14:textId="77777777" w:rsidTr="00D2786F">
        <w:trPr>
          <w:trHeight w:val="750"/>
        </w:trPr>
        <w:tc>
          <w:tcPr>
            <w:tcW w:w="2055" w:type="dxa"/>
            <w:tcBorders>
              <w:top w:val="single" w:sz="4" w:space="0" w:color="auto"/>
              <w:left w:val="nil"/>
              <w:bottom w:val="single" w:sz="4" w:space="0" w:color="auto"/>
              <w:right w:val="nil"/>
            </w:tcBorders>
            <w:shd w:val="clear" w:color="auto" w:fill="auto"/>
            <w:noWrap/>
            <w:vAlign w:val="center"/>
            <w:hideMark/>
          </w:tcPr>
          <w:p w14:paraId="3C2087F1" w14:textId="77777777" w:rsidR="00C56AD7" w:rsidRPr="00784978" w:rsidRDefault="00C56AD7" w:rsidP="00D2786F">
            <w:pPr>
              <w:spacing w:after="0" w:line="240" w:lineRule="auto"/>
              <w:rPr>
                <w:rFonts w:ascii="Calibri" w:eastAsia="Times New Roman" w:hAnsi="Calibri" w:cs="Calibri"/>
                <w:color w:val="000000"/>
              </w:rPr>
            </w:pPr>
            <w:r w:rsidRPr="00784978">
              <w:rPr>
                <w:rFonts w:ascii="Calibri" w:eastAsia="Times New Roman" w:hAnsi="Calibri" w:cs="Calibri"/>
                <w:color w:val="000000"/>
              </w:rPr>
              <w:t> </w:t>
            </w:r>
          </w:p>
        </w:tc>
        <w:tc>
          <w:tcPr>
            <w:tcW w:w="1078" w:type="dxa"/>
            <w:tcBorders>
              <w:top w:val="single" w:sz="4" w:space="0" w:color="auto"/>
              <w:left w:val="nil"/>
              <w:bottom w:val="single" w:sz="4" w:space="0" w:color="auto"/>
              <w:right w:val="nil"/>
            </w:tcBorders>
            <w:shd w:val="clear" w:color="auto" w:fill="auto"/>
            <w:vAlign w:val="center"/>
            <w:hideMark/>
          </w:tcPr>
          <w:p w14:paraId="470BEF0F" w14:textId="77777777" w:rsidR="00C56AD7" w:rsidRPr="00784978" w:rsidRDefault="00C56AD7" w:rsidP="00D2786F">
            <w:pPr>
              <w:spacing w:after="0" w:line="240" w:lineRule="auto"/>
              <w:jc w:val="center"/>
              <w:rPr>
                <w:rFonts w:ascii="Inherit" w:eastAsia="Times New Roman" w:hAnsi="Inherit" w:cs="Calibri"/>
                <w:b/>
                <w:bCs/>
                <w:color w:val="000000"/>
                <w:sz w:val="19"/>
                <w:szCs w:val="19"/>
              </w:rPr>
            </w:pPr>
            <w:r w:rsidRPr="00784978">
              <w:rPr>
                <w:rFonts w:ascii="Inherit" w:eastAsia="Times New Roman" w:hAnsi="Inherit" w:cs="Calibri"/>
                <w:b/>
                <w:bCs/>
                <w:color w:val="000000"/>
                <w:sz w:val="19"/>
                <w:szCs w:val="19"/>
              </w:rPr>
              <w:t>Age</w:t>
            </w:r>
          </w:p>
        </w:tc>
        <w:tc>
          <w:tcPr>
            <w:tcW w:w="1087" w:type="dxa"/>
            <w:tcBorders>
              <w:top w:val="single" w:sz="4" w:space="0" w:color="auto"/>
              <w:left w:val="nil"/>
              <w:bottom w:val="single" w:sz="4" w:space="0" w:color="auto"/>
              <w:right w:val="nil"/>
            </w:tcBorders>
            <w:shd w:val="clear" w:color="auto" w:fill="auto"/>
            <w:vAlign w:val="center"/>
            <w:hideMark/>
          </w:tcPr>
          <w:p w14:paraId="2FDEE95E" w14:textId="77777777" w:rsidR="00C56AD7" w:rsidRPr="00784978" w:rsidRDefault="00C56AD7" w:rsidP="00D2786F">
            <w:pPr>
              <w:spacing w:after="0" w:line="240" w:lineRule="auto"/>
              <w:jc w:val="center"/>
              <w:rPr>
                <w:rFonts w:ascii="Calibri" w:eastAsia="Times New Roman" w:hAnsi="Calibri" w:cs="Calibri"/>
                <w:b/>
                <w:bCs/>
                <w:color w:val="000000"/>
              </w:rPr>
            </w:pPr>
            <w:r w:rsidRPr="00784978">
              <w:rPr>
                <w:rFonts w:ascii="Calibri" w:eastAsia="Times New Roman" w:hAnsi="Calibri" w:cs="Calibri"/>
                <w:b/>
                <w:bCs/>
                <w:color w:val="000000"/>
              </w:rPr>
              <w:t>Gender (M/F)</w:t>
            </w:r>
          </w:p>
        </w:tc>
        <w:tc>
          <w:tcPr>
            <w:tcW w:w="1224" w:type="dxa"/>
            <w:tcBorders>
              <w:top w:val="single" w:sz="4" w:space="0" w:color="auto"/>
              <w:left w:val="nil"/>
              <w:bottom w:val="single" w:sz="4" w:space="0" w:color="auto"/>
              <w:right w:val="nil"/>
            </w:tcBorders>
            <w:shd w:val="clear" w:color="auto" w:fill="auto"/>
            <w:noWrap/>
            <w:vAlign w:val="center"/>
            <w:hideMark/>
          </w:tcPr>
          <w:p w14:paraId="15AB899A" w14:textId="77777777" w:rsidR="00C56AD7" w:rsidRPr="00784978" w:rsidRDefault="00C56AD7" w:rsidP="00D2786F">
            <w:pPr>
              <w:spacing w:after="0" w:line="240" w:lineRule="auto"/>
              <w:jc w:val="center"/>
              <w:rPr>
                <w:rFonts w:ascii="Calibri" w:eastAsia="Times New Roman" w:hAnsi="Calibri" w:cs="Calibri"/>
                <w:b/>
                <w:bCs/>
                <w:color w:val="000000"/>
              </w:rPr>
            </w:pPr>
            <w:r w:rsidRPr="00784978">
              <w:rPr>
                <w:rFonts w:ascii="Calibri" w:eastAsia="Times New Roman" w:hAnsi="Calibri" w:cs="Calibri"/>
                <w:b/>
                <w:bCs/>
                <w:color w:val="000000"/>
              </w:rPr>
              <w:t>Pack/years</w:t>
            </w:r>
          </w:p>
        </w:tc>
        <w:tc>
          <w:tcPr>
            <w:tcW w:w="1160" w:type="dxa"/>
            <w:tcBorders>
              <w:top w:val="single" w:sz="4" w:space="0" w:color="auto"/>
              <w:left w:val="nil"/>
              <w:bottom w:val="single" w:sz="4" w:space="0" w:color="auto"/>
              <w:right w:val="nil"/>
            </w:tcBorders>
            <w:shd w:val="clear" w:color="auto" w:fill="auto"/>
            <w:vAlign w:val="center"/>
            <w:hideMark/>
          </w:tcPr>
          <w:p w14:paraId="70CA933D" w14:textId="77777777" w:rsidR="00C56AD7" w:rsidRPr="00784978" w:rsidRDefault="00C56AD7" w:rsidP="00D2786F">
            <w:pPr>
              <w:spacing w:after="0" w:line="240" w:lineRule="auto"/>
              <w:jc w:val="center"/>
              <w:rPr>
                <w:rFonts w:ascii="Inherit" w:eastAsia="Times New Roman" w:hAnsi="Inherit" w:cs="Calibri"/>
                <w:b/>
                <w:bCs/>
                <w:color w:val="000000"/>
                <w:sz w:val="19"/>
                <w:szCs w:val="19"/>
              </w:rPr>
            </w:pPr>
            <w:r w:rsidRPr="00784978">
              <w:rPr>
                <w:rFonts w:ascii="Inherit" w:eastAsia="Times New Roman" w:hAnsi="Inherit" w:cs="Calibri"/>
                <w:b/>
                <w:bCs/>
                <w:color w:val="000000"/>
                <w:sz w:val="19"/>
                <w:szCs w:val="19"/>
              </w:rPr>
              <w:t>FEV</w:t>
            </w:r>
            <w:r w:rsidRPr="00784978">
              <w:rPr>
                <w:rFonts w:ascii="Inherit" w:eastAsia="Times New Roman" w:hAnsi="Inherit" w:cs="Calibri"/>
                <w:b/>
                <w:bCs/>
                <w:color w:val="000000"/>
                <w:sz w:val="17"/>
                <w:szCs w:val="17"/>
              </w:rPr>
              <w:t>1</w:t>
            </w:r>
            <w:r w:rsidRPr="00784978">
              <w:rPr>
                <w:rFonts w:ascii="Inherit" w:eastAsia="Times New Roman" w:hAnsi="Inherit" w:cs="Calibri"/>
                <w:b/>
                <w:bCs/>
                <w:color w:val="000000"/>
                <w:sz w:val="19"/>
                <w:szCs w:val="19"/>
              </w:rPr>
              <w:t> L</w:t>
            </w:r>
          </w:p>
        </w:tc>
        <w:tc>
          <w:tcPr>
            <w:tcW w:w="1160" w:type="dxa"/>
            <w:tcBorders>
              <w:top w:val="single" w:sz="4" w:space="0" w:color="auto"/>
              <w:left w:val="nil"/>
              <w:bottom w:val="single" w:sz="4" w:space="0" w:color="auto"/>
              <w:right w:val="nil"/>
            </w:tcBorders>
            <w:shd w:val="clear" w:color="auto" w:fill="auto"/>
            <w:vAlign w:val="center"/>
            <w:hideMark/>
          </w:tcPr>
          <w:p w14:paraId="267F7124" w14:textId="77777777" w:rsidR="00C56AD7" w:rsidRPr="00784978" w:rsidRDefault="00C56AD7" w:rsidP="00D2786F">
            <w:pPr>
              <w:spacing w:after="0" w:line="240" w:lineRule="auto"/>
              <w:jc w:val="center"/>
              <w:rPr>
                <w:rFonts w:ascii="Inherit" w:eastAsia="Times New Roman" w:hAnsi="Inherit" w:cs="Calibri"/>
                <w:b/>
                <w:bCs/>
                <w:color w:val="000000"/>
                <w:sz w:val="19"/>
                <w:szCs w:val="19"/>
              </w:rPr>
            </w:pPr>
            <w:r w:rsidRPr="00784978">
              <w:rPr>
                <w:rFonts w:ascii="Inherit" w:eastAsia="Times New Roman" w:hAnsi="Inherit" w:cs="Calibri"/>
                <w:b/>
                <w:bCs/>
                <w:color w:val="000000"/>
                <w:sz w:val="19"/>
                <w:szCs w:val="19"/>
              </w:rPr>
              <w:t>FEV</w:t>
            </w:r>
            <w:r w:rsidRPr="00784978">
              <w:rPr>
                <w:rFonts w:ascii="Inherit" w:eastAsia="Times New Roman" w:hAnsi="Inherit" w:cs="Calibri"/>
                <w:b/>
                <w:bCs/>
                <w:color w:val="000000"/>
                <w:sz w:val="17"/>
                <w:szCs w:val="17"/>
              </w:rPr>
              <w:t>1</w:t>
            </w:r>
            <w:r w:rsidRPr="00784978">
              <w:rPr>
                <w:rFonts w:ascii="Inherit" w:eastAsia="Times New Roman" w:hAnsi="Inherit" w:cs="Calibri"/>
                <w:b/>
                <w:bCs/>
                <w:color w:val="000000"/>
                <w:sz w:val="19"/>
                <w:szCs w:val="19"/>
              </w:rPr>
              <w:t xml:space="preserve"> % </w:t>
            </w:r>
            <w:proofErr w:type="spellStart"/>
            <w:r w:rsidRPr="00784978">
              <w:rPr>
                <w:rFonts w:ascii="Inherit" w:eastAsia="Times New Roman" w:hAnsi="Inherit" w:cs="Calibri"/>
                <w:b/>
                <w:bCs/>
                <w:color w:val="000000"/>
                <w:sz w:val="19"/>
                <w:szCs w:val="19"/>
              </w:rPr>
              <w:t>pred</w:t>
            </w:r>
            <w:proofErr w:type="spellEnd"/>
          </w:p>
        </w:tc>
        <w:tc>
          <w:tcPr>
            <w:tcW w:w="1506" w:type="dxa"/>
            <w:tcBorders>
              <w:top w:val="single" w:sz="4" w:space="0" w:color="auto"/>
              <w:left w:val="nil"/>
              <w:bottom w:val="single" w:sz="4" w:space="0" w:color="auto"/>
              <w:right w:val="nil"/>
            </w:tcBorders>
            <w:shd w:val="clear" w:color="auto" w:fill="auto"/>
            <w:vAlign w:val="center"/>
            <w:hideMark/>
          </w:tcPr>
          <w:p w14:paraId="02242DCD" w14:textId="77777777" w:rsidR="00C56AD7" w:rsidRPr="00784978" w:rsidRDefault="00C56AD7" w:rsidP="00D2786F">
            <w:pPr>
              <w:spacing w:after="0" w:line="240" w:lineRule="auto"/>
              <w:jc w:val="center"/>
              <w:rPr>
                <w:rFonts w:ascii="Inherit" w:eastAsia="Times New Roman" w:hAnsi="Inherit" w:cs="Calibri"/>
                <w:b/>
                <w:bCs/>
                <w:color w:val="000000"/>
                <w:sz w:val="19"/>
                <w:szCs w:val="19"/>
              </w:rPr>
            </w:pPr>
            <w:r w:rsidRPr="00784978">
              <w:rPr>
                <w:rFonts w:ascii="Inherit" w:eastAsia="Times New Roman" w:hAnsi="Inherit" w:cs="Calibri"/>
                <w:b/>
                <w:bCs/>
                <w:color w:val="000000"/>
                <w:sz w:val="19"/>
                <w:szCs w:val="19"/>
              </w:rPr>
              <w:t>FEV</w:t>
            </w:r>
            <w:r w:rsidRPr="00784978">
              <w:rPr>
                <w:rFonts w:ascii="Inherit" w:eastAsia="Times New Roman" w:hAnsi="Inherit" w:cs="Calibri"/>
                <w:b/>
                <w:bCs/>
                <w:color w:val="000000"/>
                <w:sz w:val="17"/>
                <w:szCs w:val="17"/>
              </w:rPr>
              <w:t>1</w:t>
            </w:r>
            <w:r w:rsidRPr="00784978">
              <w:rPr>
                <w:rFonts w:ascii="Inherit" w:eastAsia="Times New Roman" w:hAnsi="Inherit" w:cs="Calibri"/>
                <w:b/>
                <w:bCs/>
                <w:color w:val="000000"/>
                <w:sz w:val="19"/>
                <w:szCs w:val="19"/>
              </w:rPr>
              <w:t>/FVC %</w:t>
            </w:r>
          </w:p>
        </w:tc>
      </w:tr>
      <w:tr w:rsidR="00C56AD7" w:rsidRPr="00784978" w14:paraId="17FF46BA" w14:textId="77777777" w:rsidTr="00D2786F">
        <w:trPr>
          <w:trHeight w:val="495"/>
        </w:trPr>
        <w:tc>
          <w:tcPr>
            <w:tcW w:w="2055" w:type="dxa"/>
            <w:tcBorders>
              <w:top w:val="nil"/>
              <w:left w:val="nil"/>
              <w:right w:val="nil"/>
            </w:tcBorders>
            <w:shd w:val="clear" w:color="auto" w:fill="auto"/>
            <w:noWrap/>
            <w:vAlign w:val="center"/>
          </w:tcPr>
          <w:p w14:paraId="61235F57" w14:textId="79DF725E" w:rsidR="00C56AD7" w:rsidRPr="00784978" w:rsidRDefault="002F36D4" w:rsidP="00D2786F">
            <w:pPr>
              <w:spacing w:after="0" w:line="240" w:lineRule="auto"/>
              <w:rPr>
                <w:rFonts w:ascii="Calibri" w:eastAsia="Times New Roman" w:hAnsi="Calibri" w:cs="Calibri"/>
                <w:color w:val="000000"/>
              </w:rPr>
            </w:pPr>
            <w:r>
              <w:rPr>
                <w:rFonts w:ascii="Calibri" w:eastAsia="Times New Roman" w:hAnsi="Calibri" w:cs="Calibri"/>
                <w:color w:val="000000"/>
              </w:rPr>
              <w:t>Non-Smokers</w:t>
            </w:r>
            <w:r w:rsidR="00C56AD7">
              <w:rPr>
                <w:rFonts w:ascii="Calibri" w:eastAsia="Times New Roman" w:hAnsi="Calibri" w:cs="Calibri"/>
                <w:color w:val="000000"/>
              </w:rPr>
              <w:t xml:space="preserve"> (6)</w:t>
            </w:r>
          </w:p>
        </w:tc>
        <w:tc>
          <w:tcPr>
            <w:tcW w:w="1078" w:type="dxa"/>
            <w:tcBorders>
              <w:top w:val="nil"/>
              <w:left w:val="nil"/>
              <w:right w:val="nil"/>
            </w:tcBorders>
            <w:shd w:val="clear" w:color="auto" w:fill="auto"/>
            <w:noWrap/>
            <w:vAlign w:val="center"/>
          </w:tcPr>
          <w:p w14:paraId="250D74AF"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62 ± 8.8</w:t>
            </w:r>
          </w:p>
        </w:tc>
        <w:tc>
          <w:tcPr>
            <w:tcW w:w="1087" w:type="dxa"/>
            <w:tcBorders>
              <w:top w:val="nil"/>
              <w:left w:val="nil"/>
              <w:right w:val="nil"/>
            </w:tcBorders>
            <w:shd w:val="clear" w:color="auto" w:fill="auto"/>
            <w:noWrap/>
            <w:vAlign w:val="center"/>
          </w:tcPr>
          <w:p w14:paraId="10421C84" w14:textId="77777777" w:rsidR="00C56AD7" w:rsidRPr="00784978" w:rsidRDefault="00C56AD7" w:rsidP="00D2786F">
            <w:pPr>
              <w:spacing w:after="0" w:line="240" w:lineRule="auto"/>
              <w:jc w:val="center"/>
              <w:rPr>
                <w:rFonts w:ascii="Calibri" w:eastAsia="Times New Roman" w:hAnsi="Calibri" w:cs="Calibri"/>
                <w:color w:val="000000"/>
              </w:rPr>
            </w:pPr>
            <w:r>
              <w:rPr>
                <w:rFonts w:ascii="Calibri" w:eastAsia="Times New Roman" w:hAnsi="Calibri" w:cs="Calibri"/>
                <w:color w:val="000000"/>
              </w:rPr>
              <w:t>1/5</w:t>
            </w:r>
          </w:p>
        </w:tc>
        <w:tc>
          <w:tcPr>
            <w:tcW w:w="1224" w:type="dxa"/>
            <w:tcBorders>
              <w:top w:val="nil"/>
              <w:left w:val="nil"/>
              <w:right w:val="nil"/>
            </w:tcBorders>
            <w:shd w:val="clear" w:color="auto" w:fill="auto"/>
            <w:noWrap/>
            <w:vAlign w:val="center"/>
          </w:tcPr>
          <w:p w14:paraId="534CBD9B" w14:textId="77777777" w:rsidR="00C56AD7" w:rsidRPr="00784978" w:rsidRDefault="00C56AD7" w:rsidP="00D2786F">
            <w:pPr>
              <w:spacing w:after="0" w:line="240" w:lineRule="auto"/>
              <w:jc w:val="center"/>
              <w:rPr>
                <w:rFonts w:ascii="Calibri" w:eastAsia="Times New Roman" w:hAnsi="Calibri" w:cs="Calibri"/>
                <w:color w:val="000000"/>
              </w:rPr>
            </w:pPr>
            <w:r>
              <w:rPr>
                <w:rFonts w:ascii="Calibri" w:eastAsia="Times New Roman" w:hAnsi="Calibri" w:cs="Calibri"/>
                <w:color w:val="000000"/>
              </w:rPr>
              <w:t>-</w:t>
            </w:r>
          </w:p>
        </w:tc>
        <w:tc>
          <w:tcPr>
            <w:tcW w:w="1160" w:type="dxa"/>
            <w:tcBorders>
              <w:top w:val="nil"/>
              <w:left w:val="nil"/>
              <w:right w:val="nil"/>
            </w:tcBorders>
            <w:shd w:val="clear" w:color="auto" w:fill="auto"/>
            <w:noWrap/>
            <w:vAlign w:val="center"/>
          </w:tcPr>
          <w:p w14:paraId="4212D25A"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2.4 ± 0.7</w:t>
            </w:r>
          </w:p>
        </w:tc>
        <w:tc>
          <w:tcPr>
            <w:tcW w:w="1160" w:type="dxa"/>
            <w:tcBorders>
              <w:top w:val="nil"/>
              <w:left w:val="nil"/>
              <w:right w:val="nil"/>
            </w:tcBorders>
            <w:shd w:val="clear" w:color="auto" w:fill="auto"/>
            <w:noWrap/>
            <w:vAlign w:val="center"/>
          </w:tcPr>
          <w:p w14:paraId="671CA7E0"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116 ± 15.6</w:t>
            </w:r>
          </w:p>
        </w:tc>
        <w:tc>
          <w:tcPr>
            <w:tcW w:w="1506" w:type="dxa"/>
            <w:tcBorders>
              <w:top w:val="nil"/>
              <w:left w:val="nil"/>
              <w:right w:val="nil"/>
            </w:tcBorders>
            <w:shd w:val="clear" w:color="auto" w:fill="auto"/>
            <w:noWrap/>
            <w:vAlign w:val="center"/>
          </w:tcPr>
          <w:p w14:paraId="51612CC4"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106.6 ± 13.2</w:t>
            </w:r>
          </w:p>
        </w:tc>
      </w:tr>
      <w:tr w:rsidR="00C56AD7" w:rsidRPr="00784978" w14:paraId="190F90D6" w14:textId="77777777" w:rsidTr="00D2786F">
        <w:trPr>
          <w:trHeight w:val="495"/>
        </w:trPr>
        <w:tc>
          <w:tcPr>
            <w:tcW w:w="2055" w:type="dxa"/>
            <w:tcBorders>
              <w:top w:val="nil"/>
              <w:left w:val="nil"/>
              <w:bottom w:val="single" w:sz="4" w:space="0" w:color="auto"/>
              <w:right w:val="nil"/>
            </w:tcBorders>
            <w:shd w:val="clear" w:color="auto" w:fill="auto"/>
            <w:noWrap/>
            <w:vAlign w:val="center"/>
          </w:tcPr>
          <w:p w14:paraId="37491A26" w14:textId="77777777" w:rsidR="00C56AD7" w:rsidRPr="00784978" w:rsidRDefault="00C56AD7" w:rsidP="00D2786F">
            <w:pPr>
              <w:spacing w:after="0" w:line="240" w:lineRule="auto"/>
              <w:rPr>
                <w:rFonts w:ascii="Calibri" w:eastAsia="Times New Roman" w:hAnsi="Calibri" w:cs="Calibri"/>
                <w:color w:val="000000"/>
              </w:rPr>
            </w:pPr>
            <w:r>
              <w:rPr>
                <w:rFonts w:ascii="Calibri" w:eastAsia="Times New Roman" w:hAnsi="Calibri" w:cs="Calibri"/>
                <w:color w:val="000000"/>
              </w:rPr>
              <w:t>Smokers (5)</w:t>
            </w:r>
          </w:p>
        </w:tc>
        <w:tc>
          <w:tcPr>
            <w:tcW w:w="1078" w:type="dxa"/>
            <w:tcBorders>
              <w:top w:val="nil"/>
              <w:left w:val="nil"/>
              <w:bottom w:val="single" w:sz="4" w:space="0" w:color="auto"/>
              <w:right w:val="nil"/>
            </w:tcBorders>
            <w:shd w:val="clear" w:color="auto" w:fill="auto"/>
            <w:noWrap/>
            <w:vAlign w:val="center"/>
          </w:tcPr>
          <w:p w14:paraId="0A7CEFB6"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63 ± 4.5</w:t>
            </w:r>
          </w:p>
        </w:tc>
        <w:tc>
          <w:tcPr>
            <w:tcW w:w="1087" w:type="dxa"/>
            <w:tcBorders>
              <w:top w:val="nil"/>
              <w:left w:val="nil"/>
              <w:bottom w:val="single" w:sz="4" w:space="0" w:color="auto"/>
              <w:right w:val="nil"/>
            </w:tcBorders>
            <w:shd w:val="clear" w:color="auto" w:fill="auto"/>
            <w:noWrap/>
            <w:vAlign w:val="center"/>
          </w:tcPr>
          <w:p w14:paraId="7604CCAA" w14:textId="77777777" w:rsidR="00C56AD7" w:rsidRPr="00784978" w:rsidRDefault="00C56AD7" w:rsidP="00D2786F">
            <w:pPr>
              <w:spacing w:after="0" w:line="240" w:lineRule="auto"/>
              <w:jc w:val="center"/>
              <w:rPr>
                <w:rFonts w:ascii="Calibri" w:eastAsia="Times New Roman" w:hAnsi="Calibri" w:cs="Calibri"/>
                <w:color w:val="000000"/>
              </w:rPr>
            </w:pPr>
            <w:r>
              <w:rPr>
                <w:rFonts w:ascii="Calibri" w:eastAsia="Times New Roman" w:hAnsi="Calibri" w:cs="Calibri"/>
                <w:color w:val="000000"/>
              </w:rPr>
              <w:t>2/3</w:t>
            </w:r>
          </w:p>
        </w:tc>
        <w:tc>
          <w:tcPr>
            <w:tcW w:w="1224" w:type="dxa"/>
            <w:tcBorders>
              <w:top w:val="nil"/>
              <w:left w:val="nil"/>
              <w:bottom w:val="single" w:sz="4" w:space="0" w:color="auto"/>
              <w:right w:val="nil"/>
            </w:tcBorders>
            <w:shd w:val="clear" w:color="auto" w:fill="auto"/>
            <w:noWrap/>
            <w:vAlign w:val="center"/>
          </w:tcPr>
          <w:p w14:paraId="312C94C3"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31 ± 15.6</w:t>
            </w:r>
          </w:p>
        </w:tc>
        <w:tc>
          <w:tcPr>
            <w:tcW w:w="1160" w:type="dxa"/>
            <w:tcBorders>
              <w:top w:val="nil"/>
              <w:left w:val="nil"/>
              <w:bottom w:val="single" w:sz="4" w:space="0" w:color="auto"/>
              <w:right w:val="nil"/>
            </w:tcBorders>
            <w:shd w:val="clear" w:color="auto" w:fill="auto"/>
            <w:noWrap/>
            <w:vAlign w:val="center"/>
          </w:tcPr>
          <w:p w14:paraId="1653D230"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2.4 ± 0.5</w:t>
            </w:r>
          </w:p>
        </w:tc>
        <w:tc>
          <w:tcPr>
            <w:tcW w:w="1160" w:type="dxa"/>
            <w:tcBorders>
              <w:top w:val="nil"/>
              <w:left w:val="nil"/>
              <w:bottom w:val="single" w:sz="4" w:space="0" w:color="auto"/>
              <w:right w:val="nil"/>
            </w:tcBorders>
            <w:shd w:val="clear" w:color="auto" w:fill="auto"/>
            <w:noWrap/>
            <w:vAlign w:val="center"/>
          </w:tcPr>
          <w:p w14:paraId="28B32AA5"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107.2± 9.7</w:t>
            </w:r>
          </w:p>
        </w:tc>
        <w:tc>
          <w:tcPr>
            <w:tcW w:w="1506" w:type="dxa"/>
            <w:tcBorders>
              <w:top w:val="nil"/>
              <w:left w:val="nil"/>
              <w:bottom w:val="single" w:sz="4" w:space="0" w:color="auto"/>
              <w:right w:val="nil"/>
            </w:tcBorders>
            <w:shd w:val="clear" w:color="auto" w:fill="auto"/>
            <w:noWrap/>
            <w:vAlign w:val="center"/>
          </w:tcPr>
          <w:p w14:paraId="7C77C00C" w14:textId="77777777" w:rsidR="00C56AD7" w:rsidRPr="00784978" w:rsidRDefault="00C56AD7" w:rsidP="00D2786F">
            <w:pPr>
              <w:spacing w:after="0" w:line="240" w:lineRule="auto"/>
              <w:jc w:val="center"/>
              <w:rPr>
                <w:rFonts w:ascii="Calibri" w:eastAsia="Times New Roman" w:hAnsi="Calibri" w:cs="Calibri"/>
                <w:color w:val="000000"/>
              </w:rPr>
            </w:pPr>
            <w:r w:rsidRPr="00D67562">
              <w:rPr>
                <w:rFonts w:ascii="Calibri" w:eastAsia="Times New Roman" w:hAnsi="Calibri" w:cs="Calibri"/>
                <w:color w:val="000000"/>
              </w:rPr>
              <w:t>89.1 ± 10.9</w:t>
            </w:r>
          </w:p>
        </w:tc>
      </w:tr>
      <w:bookmarkEnd w:id="1"/>
    </w:tbl>
    <w:p w14:paraId="1850D72C" w14:textId="54358235" w:rsidR="004A241D" w:rsidRDefault="004A241D" w:rsidP="003C4EE1">
      <w:pPr>
        <w:spacing w:line="360" w:lineRule="auto"/>
        <w:ind w:hanging="810"/>
        <w:jc w:val="both"/>
        <w:rPr>
          <w:rFonts w:ascii="Times New Roman" w:hAnsi="Times New Roman" w:cs="Times New Roman"/>
          <w:sz w:val="24"/>
          <w:szCs w:val="24"/>
        </w:rPr>
      </w:pPr>
    </w:p>
    <w:p w14:paraId="3DD53518" w14:textId="4D41C8C4" w:rsidR="00557AF4" w:rsidRDefault="00557AF4" w:rsidP="00557AF4">
      <w:pPr>
        <w:spacing w:line="360" w:lineRule="auto"/>
        <w:ind w:hanging="810"/>
        <w:jc w:val="both"/>
        <w:rPr>
          <w:rFonts w:ascii="Times New Roman" w:hAnsi="Times New Roman" w:cs="Times New Roman"/>
          <w:sz w:val="24"/>
          <w:szCs w:val="24"/>
          <w:lang w:val="it-IT"/>
        </w:rPr>
      </w:pPr>
      <w:r>
        <w:rPr>
          <w:rFonts w:ascii="Times New Roman" w:hAnsi="Times New Roman" w:cs="Times New Roman"/>
          <w:sz w:val="24"/>
          <w:szCs w:val="24"/>
          <w:lang w:val="it-IT"/>
        </w:rPr>
        <w:tab/>
      </w:r>
    </w:p>
    <w:p w14:paraId="6FBFEB62" w14:textId="293982BD" w:rsidR="00115EA5" w:rsidRDefault="00115EA5" w:rsidP="00557AF4">
      <w:pPr>
        <w:spacing w:line="360" w:lineRule="auto"/>
        <w:ind w:hanging="810"/>
        <w:jc w:val="both"/>
        <w:rPr>
          <w:rFonts w:ascii="Times New Roman" w:hAnsi="Times New Roman" w:cs="Times New Roman"/>
          <w:sz w:val="24"/>
          <w:szCs w:val="24"/>
        </w:rPr>
      </w:pPr>
    </w:p>
    <w:p w14:paraId="1E596634" w14:textId="4BECD301" w:rsidR="00115EA5" w:rsidRDefault="00115EA5" w:rsidP="00557AF4">
      <w:pPr>
        <w:spacing w:line="360" w:lineRule="auto"/>
        <w:ind w:hanging="810"/>
        <w:jc w:val="both"/>
        <w:rPr>
          <w:rFonts w:ascii="Times New Roman" w:hAnsi="Times New Roman" w:cs="Times New Roman"/>
          <w:sz w:val="24"/>
          <w:szCs w:val="24"/>
        </w:rPr>
      </w:pPr>
    </w:p>
    <w:p w14:paraId="5767B344" w14:textId="0C395959" w:rsidR="00115EA5" w:rsidRDefault="00115EA5" w:rsidP="00557AF4">
      <w:pPr>
        <w:spacing w:line="360" w:lineRule="auto"/>
        <w:ind w:hanging="810"/>
        <w:jc w:val="both"/>
        <w:rPr>
          <w:rFonts w:ascii="Times New Roman" w:hAnsi="Times New Roman" w:cs="Times New Roman"/>
          <w:sz w:val="24"/>
          <w:szCs w:val="24"/>
        </w:rPr>
      </w:pPr>
    </w:p>
    <w:p w14:paraId="0F25572B" w14:textId="5AAB7000" w:rsidR="00115EA5" w:rsidRDefault="00115EA5" w:rsidP="00557AF4">
      <w:pPr>
        <w:spacing w:line="360" w:lineRule="auto"/>
        <w:ind w:hanging="810"/>
        <w:jc w:val="both"/>
        <w:rPr>
          <w:rFonts w:ascii="Times New Roman" w:hAnsi="Times New Roman" w:cs="Times New Roman"/>
          <w:sz w:val="24"/>
          <w:szCs w:val="24"/>
        </w:rPr>
      </w:pPr>
    </w:p>
    <w:p w14:paraId="7DF49F0A" w14:textId="794971E5" w:rsidR="00115EA5" w:rsidRDefault="00115EA5" w:rsidP="00557AF4">
      <w:pPr>
        <w:spacing w:line="360" w:lineRule="auto"/>
        <w:ind w:hanging="810"/>
        <w:jc w:val="both"/>
        <w:rPr>
          <w:rFonts w:ascii="Times New Roman" w:hAnsi="Times New Roman" w:cs="Times New Roman"/>
          <w:sz w:val="24"/>
          <w:szCs w:val="24"/>
        </w:rPr>
      </w:pPr>
    </w:p>
    <w:p w14:paraId="11A34A3E" w14:textId="7B891129" w:rsidR="00115EA5" w:rsidRDefault="00115EA5" w:rsidP="00557AF4">
      <w:pPr>
        <w:spacing w:line="360" w:lineRule="auto"/>
        <w:ind w:hanging="810"/>
        <w:jc w:val="both"/>
        <w:rPr>
          <w:rFonts w:ascii="Times New Roman" w:hAnsi="Times New Roman" w:cs="Times New Roman"/>
          <w:sz w:val="24"/>
          <w:szCs w:val="24"/>
        </w:rPr>
      </w:pPr>
    </w:p>
    <w:p w14:paraId="54644E20" w14:textId="230C3F47" w:rsidR="00115EA5" w:rsidRDefault="00115EA5" w:rsidP="00557AF4">
      <w:pPr>
        <w:spacing w:line="360" w:lineRule="auto"/>
        <w:ind w:hanging="810"/>
        <w:jc w:val="both"/>
        <w:rPr>
          <w:rFonts w:ascii="Times New Roman" w:hAnsi="Times New Roman" w:cs="Times New Roman"/>
          <w:sz w:val="24"/>
          <w:szCs w:val="24"/>
        </w:rPr>
      </w:pPr>
    </w:p>
    <w:p w14:paraId="27E44D4D" w14:textId="0FF609CE" w:rsidR="00115EA5" w:rsidRDefault="00115EA5" w:rsidP="00557AF4">
      <w:pPr>
        <w:spacing w:line="360" w:lineRule="auto"/>
        <w:ind w:hanging="810"/>
        <w:jc w:val="both"/>
        <w:rPr>
          <w:rFonts w:ascii="Times New Roman" w:hAnsi="Times New Roman" w:cs="Times New Roman"/>
          <w:sz w:val="24"/>
          <w:szCs w:val="24"/>
        </w:rPr>
      </w:pPr>
    </w:p>
    <w:p w14:paraId="6CE2E5EC" w14:textId="26C632D4" w:rsidR="00115EA5" w:rsidRDefault="00115EA5" w:rsidP="00557AF4">
      <w:pPr>
        <w:spacing w:line="360" w:lineRule="auto"/>
        <w:ind w:hanging="810"/>
        <w:jc w:val="both"/>
        <w:rPr>
          <w:rFonts w:ascii="Times New Roman" w:hAnsi="Times New Roman" w:cs="Times New Roman"/>
          <w:sz w:val="24"/>
          <w:szCs w:val="24"/>
        </w:rPr>
      </w:pPr>
    </w:p>
    <w:p w14:paraId="1C98B1A1" w14:textId="2C4178C6" w:rsidR="00115EA5" w:rsidRDefault="00115EA5" w:rsidP="00557AF4">
      <w:pPr>
        <w:spacing w:line="360" w:lineRule="auto"/>
        <w:ind w:hanging="810"/>
        <w:jc w:val="both"/>
        <w:rPr>
          <w:rFonts w:ascii="Times New Roman" w:hAnsi="Times New Roman" w:cs="Times New Roman"/>
          <w:sz w:val="24"/>
          <w:szCs w:val="24"/>
        </w:rPr>
      </w:pPr>
    </w:p>
    <w:p w14:paraId="66C31E11" w14:textId="1CBD011B" w:rsidR="00115EA5" w:rsidRDefault="00115EA5" w:rsidP="00557AF4">
      <w:pPr>
        <w:spacing w:line="360" w:lineRule="auto"/>
        <w:ind w:hanging="810"/>
        <w:jc w:val="both"/>
        <w:rPr>
          <w:rFonts w:ascii="Times New Roman" w:hAnsi="Times New Roman" w:cs="Times New Roman"/>
          <w:sz w:val="24"/>
          <w:szCs w:val="24"/>
        </w:rPr>
      </w:pPr>
    </w:p>
    <w:p w14:paraId="19E01D43" w14:textId="67ABDD61" w:rsidR="00115EA5" w:rsidRDefault="00115EA5" w:rsidP="00557AF4">
      <w:pPr>
        <w:spacing w:line="360" w:lineRule="auto"/>
        <w:ind w:hanging="810"/>
        <w:jc w:val="both"/>
        <w:rPr>
          <w:rFonts w:ascii="Times New Roman" w:hAnsi="Times New Roman" w:cs="Times New Roman"/>
          <w:sz w:val="24"/>
          <w:szCs w:val="24"/>
        </w:rPr>
      </w:pPr>
    </w:p>
    <w:p w14:paraId="4758CE65" w14:textId="38CFDCF1" w:rsidR="00115EA5" w:rsidRDefault="00115EA5" w:rsidP="00557AF4">
      <w:pPr>
        <w:spacing w:line="360" w:lineRule="auto"/>
        <w:ind w:hanging="810"/>
        <w:jc w:val="both"/>
        <w:rPr>
          <w:rFonts w:ascii="Times New Roman" w:hAnsi="Times New Roman" w:cs="Times New Roman"/>
          <w:sz w:val="24"/>
          <w:szCs w:val="24"/>
        </w:rPr>
      </w:pPr>
    </w:p>
    <w:p w14:paraId="195BD5D5" w14:textId="1BD5A10F" w:rsidR="00115EA5" w:rsidRDefault="00115EA5" w:rsidP="00557AF4">
      <w:pPr>
        <w:spacing w:line="360" w:lineRule="auto"/>
        <w:ind w:hanging="810"/>
        <w:jc w:val="both"/>
        <w:rPr>
          <w:rFonts w:ascii="Times New Roman" w:hAnsi="Times New Roman" w:cs="Times New Roman"/>
          <w:sz w:val="24"/>
          <w:szCs w:val="24"/>
        </w:rPr>
      </w:pPr>
    </w:p>
    <w:p w14:paraId="6D906D86" w14:textId="66A9302F" w:rsidR="00115EA5" w:rsidRDefault="00115EA5" w:rsidP="00557AF4">
      <w:pPr>
        <w:spacing w:line="360" w:lineRule="auto"/>
        <w:ind w:hanging="810"/>
        <w:jc w:val="both"/>
        <w:rPr>
          <w:rFonts w:ascii="Times New Roman" w:hAnsi="Times New Roman" w:cs="Times New Roman"/>
          <w:sz w:val="24"/>
          <w:szCs w:val="24"/>
        </w:rPr>
      </w:pPr>
    </w:p>
    <w:p w14:paraId="03AA6720" w14:textId="56B7D8B4" w:rsidR="00115EA5" w:rsidRDefault="00115EA5" w:rsidP="00557AF4">
      <w:pPr>
        <w:spacing w:line="360" w:lineRule="auto"/>
        <w:ind w:hanging="810"/>
        <w:jc w:val="both"/>
        <w:rPr>
          <w:rFonts w:ascii="Times New Roman" w:hAnsi="Times New Roman" w:cs="Times New Roman"/>
          <w:sz w:val="24"/>
          <w:szCs w:val="24"/>
        </w:rPr>
      </w:pPr>
    </w:p>
    <w:p w14:paraId="304489AC" w14:textId="755CC845" w:rsidR="004A241D" w:rsidRPr="00472E32" w:rsidRDefault="004A241D" w:rsidP="00FE07A8">
      <w:pPr>
        <w:spacing w:line="360" w:lineRule="auto"/>
        <w:jc w:val="both"/>
        <w:rPr>
          <w:rFonts w:ascii="Times New Roman" w:hAnsi="Times New Roman" w:cs="Times New Roman"/>
          <w:sz w:val="24"/>
          <w:szCs w:val="24"/>
          <w:lang w:val="it-IT"/>
        </w:rPr>
      </w:pPr>
    </w:p>
    <w:sectPr w:rsidR="004A241D" w:rsidRPr="00472E32" w:rsidSect="00D20D5A">
      <w:footerReference w:type="default" r:id="rId10"/>
      <w:pgSz w:w="11906" w:h="16838" w:code="9"/>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6BE1E" w14:textId="77777777" w:rsidR="00AC2695" w:rsidRDefault="00AC2695" w:rsidP="00AE5EB0">
      <w:pPr>
        <w:spacing w:after="0" w:line="240" w:lineRule="auto"/>
      </w:pPr>
      <w:r>
        <w:separator/>
      </w:r>
    </w:p>
  </w:endnote>
  <w:endnote w:type="continuationSeparator" w:id="0">
    <w:p w14:paraId="2DFAF334" w14:textId="77777777" w:rsidR="00AC2695" w:rsidRDefault="00AC2695" w:rsidP="00AE5EB0">
      <w:pPr>
        <w:spacing w:after="0" w:line="240" w:lineRule="auto"/>
      </w:pPr>
      <w:r>
        <w:continuationSeparator/>
      </w:r>
    </w:p>
  </w:endnote>
  <w:endnote w:type="continuationNotice" w:id="1">
    <w:p w14:paraId="2A07F95E" w14:textId="77777777" w:rsidR="00AC2695" w:rsidRDefault="00AC2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208246"/>
      <w:docPartObj>
        <w:docPartGallery w:val="Page Numbers (Bottom of Page)"/>
        <w:docPartUnique/>
      </w:docPartObj>
    </w:sdtPr>
    <w:sdtEndPr/>
    <w:sdtContent>
      <w:p w14:paraId="2C1D34EB" w14:textId="3CA8B998" w:rsidR="003577FC" w:rsidRDefault="003577FC">
        <w:pPr>
          <w:pStyle w:val="Pidipagina"/>
          <w:jc w:val="center"/>
        </w:pPr>
        <w:r>
          <w:fldChar w:fldCharType="begin"/>
        </w:r>
        <w:r>
          <w:instrText>PAGE   \* MERGEFORMAT</w:instrText>
        </w:r>
        <w:r>
          <w:fldChar w:fldCharType="separate"/>
        </w:r>
        <w:r w:rsidRPr="00E34968">
          <w:rPr>
            <w:noProof/>
            <w:lang w:val="it-IT"/>
          </w:rPr>
          <w:t>18</w:t>
        </w:r>
        <w:r>
          <w:fldChar w:fldCharType="end"/>
        </w:r>
      </w:p>
    </w:sdtContent>
  </w:sdt>
  <w:p w14:paraId="5E0768AE" w14:textId="77777777" w:rsidR="003577FC" w:rsidRDefault="003577F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477A5" w14:textId="77777777" w:rsidR="00AC2695" w:rsidRDefault="00AC2695" w:rsidP="00AE5EB0">
      <w:pPr>
        <w:spacing w:after="0" w:line="240" w:lineRule="auto"/>
      </w:pPr>
      <w:r>
        <w:separator/>
      </w:r>
    </w:p>
  </w:footnote>
  <w:footnote w:type="continuationSeparator" w:id="0">
    <w:p w14:paraId="17D6D535" w14:textId="77777777" w:rsidR="00AC2695" w:rsidRDefault="00AC2695" w:rsidP="00AE5EB0">
      <w:pPr>
        <w:spacing w:after="0" w:line="240" w:lineRule="auto"/>
      </w:pPr>
      <w:r>
        <w:continuationSeparator/>
      </w:r>
    </w:p>
  </w:footnote>
  <w:footnote w:type="continuationNotice" w:id="1">
    <w:p w14:paraId="443E76F2" w14:textId="77777777" w:rsidR="00AC2695" w:rsidRDefault="00AC269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rw2a0pdzr00raree9xox5dxozxpw5p5wxv92&quot;&gt;2021_CSE and GSDMD&lt;record-ids&gt;&lt;item&gt;39&lt;/item&gt;&lt;/record-ids&gt;&lt;/item&gt;&lt;/Libraries&gt;"/>
  </w:docVars>
  <w:rsids>
    <w:rsidRoot w:val="005C007B"/>
    <w:rsid w:val="0000766F"/>
    <w:rsid w:val="00013AF9"/>
    <w:rsid w:val="00013E40"/>
    <w:rsid w:val="00014F02"/>
    <w:rsid w:val="000164DD"/>
    <w:rsid w:val="000174FA"/>
    <w:rsid w:val="00017CFE"/>
    <w:rsid w:val="00022621"/>
    <w:rsid w:val="0002297C"/>
    <w:rsid w:val="000300E1"/>
    <w:rsid w:val="00030D41"/>
    <w:rsid w:val="000314EA"/>
    <w:rsid w:val="00031FD4"/>
    <w:rsid w:val="00033BFB"/>
    <w:rsid w:val="00042EF4"/>
    <w:rsid w:val="00046001"/>
    <w:rsid w:val="0006117D"/>
    <w:rsid w:val="00062D15"/>
    <w:rsid w:val="00062FD5"/>
    <w:rsid w:val="00065A6E"/>
    <w:rsid w:val="00066190"/>
    <w:rsid w:val="00066E6B"/>
    <w:rsid w:val="00070CEB"/>
    <w:rsid w:val="00072857"/>
    <w:rsid w:val="00073726"/>
    <w:rsid w:val="0007415D"/>
    <w:rsid w:val="00074865"/>
    <w:rsid w:val="00074B39"/>
    <w:rsid w:val="00075F32"/>
    <w:rsid w:val="00086082"/>
    <w:rsid w:val="000918A9"/>
    <w:rsid w:val="00093960"/>
    <w:rsid w:val="000939D3"/>
    <w:rsid w:val="000A1CAA"/>
    <w:rsid w:val="000A2789"/>
    <w:rsid w:val="000A38E6"/>
    <w:rsid w:val="000A6224"/>
    <w:rsid w:val="000A67D5"/>
    <w:rsid w:val="000A6D29"/>
    <w:rsid w:val="000B2CC5"/>
    <w:rsid w:val="000B3375"/>
    <w:rsid w:val="000B3F53"/>
    <w:rsid w:val="000B415F"/>
    <w:rsid w:val="000B7183"/>
    <w:rsid w:val="000B739B"/>
    <w:rsid w:val="000C2257"/>
    <w:rsid w:val="000C3CAF"/>
    <w:rsid w:val="000C4B8E"/>
    <w:rsid w:val="000C7651"/>
    <w:rsid w:val="000D35A5"/>
    <w:rsid w:val="000D508F"/>
    <w:rsid w:val="000D6565"/>
    <w:rsid w:val="000E2C71"/>
    <w:rsid w:val="000E673F"/>
    <w:rsid w:val="000F0B06"/>
    <w:rsid w:val="000F3605"/>
    <w:rsid w:val="000F66F2"/>
    <w:rsid w:val="000F6824"/>
    <w:rsid w:val="000F7317"/>
    <w:rsid w:val="0010050D"/>
    <w:rsid w:val="0010063A"/>
    <w:rsid w:val="001052C5"/>
    <w:rsid w:val="00107260"/>
    <w:rsid w:val="00115D3B"/>
    <w:rsid w:val="00115EA5"/>
    <w:rsid w:val="00117CC8"/>
    <w:rsid w:val="00120773"/>
    <w:rsid w:val="00122477"/>
    <w:rsid w:val="00131F10"/>
    <w:rsid w:val="00135695"/>
    <w:rsid w:val="00146B63"/>
    <w:rsid w:val="00153BC5"/>
    <w:rsid w:val="00157395"/>
    <w:rsid w:val="00163914"/>
    <w:rsid w:val="0016532A"/>
    <w:rsid w:val="001716CE"/>
    <w:rsid w:val="001744E0"/>
    <w:rsid w:val="00176898"/>
    <w:rsid w:val="00177A8D"/>
    <w:rsid w:val="0018228F"/>
    <w:rsid w:val="00183BF8"/>
    <w:rsid w:val="0018746A"/>
    <w:rsid w:val="00195614"/>
    <w:rsid w:val="00195D9B"/>
    <w:rsid w:val="001A13B3"/>
    <w:rsid w:val="001A301A"/>
    <w:rsid w:val="001B2A30"/>
    <w:rsid w:val="001B54CA"/>
    <w:rsid w:val="001B63B1"/>
    <w:rsid w:val="001B6EF9"/>
    <w:rsid w:val="001B7B4C"/>
    <w:rsid w:val="001C0A2A"/>
    <w:rsid w:val="001C0E3E"/>
    <w:rsid w:val="001D7086"/>
    <w:rsid w:val="001E015C"/>
    <w:rsid w:val="001E0E14"/>
    <w:rsid w:val="001E7172"/>
    <w:rsid w:val="001F1131"/>
    <w:rsid w:val="001F161D"/>
    <w:rsid w:val="001F336E"/>
    <w:rsid w:val="001F3A89"/>
    <w:rsid w:val="002135CA"/>
    <w:rsid w:val="00214F35"/>
    <w:rsid w:val="00224C64"/>
    <w:rsid w:val="00226E0E"/>
    <w:rsid w:val="0023014D"/>
    <w:rsid w:val="00232F0F"/>
    <w:rsid w:val="0023454B"/>
    <w:rsid w:val="00235269"/>
    <w:rsid w:val="002370B0"/>
    <w:rsid w:val="0024438E"/>
    <w:rsid w:val="00245A6E"/>
    <w:rsid w:val="002477F7"/>
    <w:rsid w:val="00263CFF"/>
    <w:rsid w:val="00264212"/>
    <w:rsid w:val="002645EC"/>
    <w:rsid w:val="00270402"/>
    <w:rsid w:val="00271947"/>
    <w:rsid w:val="00271B04"/>
    <w:rsid w:val="00272C4F"/>
    <w:rsid w:val="00274B44"/>
    <w:rsid w:val="002822CA"/>
    <w:rsid w:val="00293DEA"/>
    <w:rsid w:val="0029613F"/>
    <w:rsid w:val="002A03D5"/>
    <w:rsid w:val="002A1B97"/>
    <w:rsid w:val="002A3BB5"/>
    <w:rsid w:val="002A3E87"/>
    <w:rsid w:val="002A46FB"/>
    <w:rsid w:val="002A637C"/>
    <w:rsid w:val="002A68C0"/>
    <w:rsid w:val="002B08F0"/>
    <w:rsid w:val="002B0B96"/>
    <w:rsid w:val="002B1B9A"/>
    <w:rsid w:val="002B36DE"/>
    <w:rsid w:val="002C1DD6"/>
    <w:rsid w:val="002C55C9"/>
    <w:rsid w:val="002C6661"/>
    <w:rsid w:val="002D11A3"/>
    <w:rsid w:val="002D19DD"/>
    <w:rsid w:val="002D4040"/>
    <w:rsid w:val="002D5CFE"/>
    <w:rsid w:val="002E1A3A"/>
    <w:rsid w:val="002E27DF"/>
    <w:rsid w:val="002E7B0E"/>
    <w:rsid w:val="002F12D0"/>
    <w:rsid w:val="002F1D2D"/>
    <w:rsid w:val="002F1F17"/>
    <w:rsid w:val="002F36D4"/>
    <w:rsid w:val="002F4EDD"/>
    <w:rsid w:val="002F5940"/>
    <w:rsid w:val="002F607D"/>
    <w:rsid w:val="003042E7"/>
    <w:rsid w:val="00312BA7"/>
    <w:rsid w:val="00313ED3"/>
    <w:rsid w:val="003205CA"/>
    <w:rsid w:val="003205DC"/>
    <w:rsid w:val="0032188A"/>
    <w:rsid w:val="00322739"/>
    <w:rsid w:val="00322CF9"/>
    <w:rsid w:val="00325C94"/>
    <w:rsid w:val="00326497"/>
    <w:rsid w:val="00326546"/>
    <w:rsid w:val="00327643"/>
    <w:rsid w:val="00327910"/>
    <w:rsid w:val="00327925"/>
    <w:rsid w:val="00327B17"/>
    <w:rsid w:val="00330D9B"/>
    <w:rsid w:val="00332096"/>
    <w:rsid w:val="00342A77"/>
    <w:rsid w:val="00343B8A"/>
    <w:rsid w:val="0034778D"/>
    <w:rsid w:val="00350BDD"/>
    <w:rsid w:val="003577FC"/>
    <w:rsid w:val="003606EF"/>
    <w:rsid w:val="003640B9"/>
    <w:rsid w:val="003738CA"/>
    <w:rsid w:val="003835C8"/>
    <w:rsid w:val="00384BCC"/>
    <w:rsid w:val="0038726A"/>
    <w:rsid w:val="0039625F"/>
    <w:rsid w:val="003965EA"/>
    <w:rsid w:val="003A5E84"/>
    <w:rsid w:val="003B33E4"/>
    <w:rsid w:val="003B403B"/>
    <w:rsid w:val="003B64DA"/>
    <w:rsid w:val="003C31A2"/>
    <w:rsid w:val="003C34C7"/>
    <w:rsid w:val="003C4EE1"/>
    <w:rsid w:val="003D2366"/>
    <w:rsid w:val="003D44D7"/>
    <w:rsid w:val="003D6218"/>
    <w:rsid w:val="003E1182"/>
    <w:rsid w:val="003E1355"/>
    <w:rsid w:val="003E18F1"/>
    <w:rsid w:val="003E4593"/>
    <w:rsid w:val="003E569D"/>
    <w:rsid w:val="003F5FD2"/>
    <w:rsid w:val="0040274E"/>
    <w:rsid w:val="00412917"/>
    <w:rsid w:val="004223A2"/>
    <w:rsid w:val="004224CB"/>
    <w:rsid w:val="00427AF9"/>
    <w:rsid w:val="0043410B"/>
    <w:rsid w:val="004374A3"/>
    <w:rsid w:val="00440DE1"/>
    <w:rsid w:val="004451DF"/>
    <w:rsid w:val="00447B04"/>
    <w:rsid w:val="00447D80"/>
    <w:rsid w:val="00455026"/>
    <w:rsid w:val="004637FF"/>
    <w:rsid w:val="00464DC5"/>
    <w:rsid w:val="0046553B"/>
    <w:rsid w:val="004704B4"/>
    <w:rsid w:val="00472E32"/>
    <w:rsid w:val="0048081A"/>
    <w:rsid w:val="00482AE7"/>
    <w:rsid w:val="00483BEB"/>
    <w:rsid w:val="0048536B"/>
    <w:rsid w:val="00486A65"/>
    <w:rsid w:val="00486A81"/>
    <w:rsid w:val="00492EE6"/>
    <w:rsid w:val="00494578"/>
    <w:rsid w:val="00494D53"/>
    <w:rsid w:val="004A1FE7"/>
    <w:rsid w:val="004A241D"/>
    <w:rsid w:val="004A36F8"/>
    <w:rsid w:val="004A53FF"/>
    <w:rsid w:val="004A629C"/>
    <w:rsid w:val="004B3C93"/>
    <w:rsid w:val="004C1A10"/>
    <w:rsid w:val="004C35E2"/>
    <w:rsid w:val="004C406D"/>
    <w:rsid w:val="004C5D5E"/>
    <w:rsid w:val="004D13DB"/>
    <w:rsid w:val="004D25C5"/>
    <w:rsid w:val="004D6DC5"/>
    <w:rsid w:val="004E2DC0"/>
    <w:rsid w:val="004E38BC"/>
    <w:rsid w:val="004E65B8"/>
    <w:rsid w:val="004F0CE1"/>
    <w:rsid w:val="004F25F2"/>
    <w:rsid w:val="004F6225"/>
    <w:rsid w:val="004F76C1"/>
    <w:rsid w:val="00502578"/>
    <w:rsid w:val="0050663F"/>
    <w:rsid w:val="00507549"/>
    <w:rsid w:val="005106DD"/>
    <w:rsid w:val="00516759"/>
    <w:rsid w:val="00525398"/>
    <w:rsid w:val="00526DC1"/>
    <w:rsid w:val="005301AF"/>
    <w:rsid w:val="0053062E"/>
    <w:rsid w:val="00533BDB"/>
    <w:rsid w:val="00543809"/>
    <w:rsid w:val="00551F30"/>
    <w:rsid w:val="0055709C"/>
    <w:rsid w:val="0055797C"/>
    <w:rsid w:val="00557AF4"/>
    <w:rsid w:val="005607F2"/>
    <w:rsid w:val="00561D2A"/>
    <w:rsid w:val="00565058"/>
    <w:rsid w:val="00571D11"/>
    <w:rsid w:val="00573096"/>
    <w:rsid w:val="00573D64"/>
    <w:rsid w:val="0057445C"/>
    <w:rsid w:val="00577184"/>
    <w:rsid w:val="00582C55"/>
    <w:rsid w:val="00584D63"/>
    <w:rsid w:val="0058631F"/>
    <w:rsid w:val="0058710E"/>
    <w:rsid w:val="00587965"/>
    <w:rsid w:val="00590A4A"/>
    <w:rsid w:val="005916D9"/>
    <w:rsid w:val="00591B09"/>
    <w:rsid w:val="00594206"/>
    <w:rsid w:val="00595530"/>
    <w:rsid w:val="005A3D39"/>
    <w:rsid w:val="005A4A15"/>
    <w:rsid w:val="005A4FCF"/>
    <w:rsid w:val="005B24C1"/>
    <w:rsid w:val="005B2ABE"/>
    <w:rsid w:val="005B4B7A"/>
    <w:rsid w:val="005C007B"/>
    <w:rsid w:val="005C06F7"/>
    <w:rsid w:val="005C4FFE"/>
    <w:rsid w:val="005C5205"/>
    <w:rsid w:val="005C5318"/>
    <w:rsid w:val="005C718B"/>
    <w:rsid w:val="005D5478"/>
    <w:rsid w:val="005D5CAD"/>
    <w:rsid w:val="005D7753"/>
    <w:rsid w:val="005E2238"/>
    <w:rsid w:val="005E504B"/>
    <w:rsid w:val="005E55D1"/>
    <w:rsid w:val="005E759C"/>
    <w:rsid w:val="005F5620"/>
    <w:rsid w:val="00600EC8"/>
    <w:rsid w:val="00601C94"/>
    <w:rsid w:val="00604D10"/>
    <w:rsid w:val="00615557"/>
    <w:rsid w:val="006159EF"/>
    <w:rsid w:val="00630FC9"/>
    <w:rsid w:val="00632F3C"/>
    <w:rsid w:val="006470DD"/>
    <w:rsid w:val="006501A2"/>
    <w:rsid w:val="006550AB"/>
    <w:rsid w:val="00655E81"/>
    <w:rsid w:val="00656E9A"/>
    <w:rsid w:val="006576FA"/>
    <w:rsid w:val="00660B77"/>
    <w:rsid w:val="006610DC"/>
    <w:rsid w:val="00663871"/>
    <w:rsid w:val="00663873"/>
    <w:rsid w:val="00672986"/>
    <w:rsid w:val="00673BBB"/>
    <w:rsid w:val="0067408E"/>
    <w:rsid w:val="006813D2"/>
    <w:rsid w:val="00683321"/>
    <w:rsid w:val="00685173"/>
    <w:rsid w:val="00690AFE"/>
    <w:rsid w:val="0069590D"/>
    <w:rsid w:val="006A2B44"/>
    <w:rsid w:val="006A2FE8"/>
    <w:rsid w:val="006A68C5"/>
    <w:rsid w:val="006A7585"/>
    <w:rsid w:val="006B2A57"/>
    <w:rsid w:val="006B402B"/>
    <w:rsid w:val="006B6346"/>
    <w:rsid w:val="006B79F4"/>
    <w:rsid w:val="006B7C3A"/>
    <w:rsid w:val="006C4622"/>
    <w:rsid w:val="006C6E96"/>
    <w:rsid w:val="006D4E9A"/>
    <w:rsid w:val="006D59A8"/>
    <w:rsid w:val="006D6559"/>
    <w:rsid w:val="006D74AE"/>
    <w:rsid w:val="006E1DB5"/>
    <w:rsid w:val="006F0FEA"/>
    <w:rsid w:val="006F1518"/>
    <w:rsid w:val="006F3E52"/>
    <w:rsid w:val="006F5513"/>
    <w:rsid w:val="006F5D72"/>
    <w:rsid w:val="006F5FE1"/>
    <w:rsid w:val="0070433B"/>
    <w:rsid w:val="0070477B"/>
    <w:rsid w:val="00704957"/>
    <w:rsid w:val="007068D0"/>
    <w:rsid w:val="007070AD"/>
    <w:rsid w:val="00707863"/>
    <w:rsid w:val="007139CE"/>
    <w:rsid w:val="00714AA1"/>
    <w:rsid w:val="00714B1F"/>
    <w:rsid w:val="00722B93"/>
    <w:rsid w:val="007262FB"/>
    <w:rsid w:val="00726533"/>
    <w:rsid w:val="00733099"/>
    <w:rsid w:val="00735970"/>
    <w:rsid w:val="007406EC"/>
    <w:rsid w:val="00741065"/>
    <w:rsid w:val="00743ED1"/>
    <w:rsid w:val="00752A5C"/>
    <w:rsid w:val="00754FC9"/>
    <w:rsid w:val="0076082C"/>
    <w:rsid w:val="007620AE"/>
    <w:rsid w:val="0076435D"/>
    <w:rsid w:val="00765169"/>
    <w:rsid w:val="007659D5"/>
    <w:rsid w:val="0076648F"/>
    <w:rsid w:val="00773370"/>
    <w:rsid w:val="00773F3F"/>
    <w:rsid w:val="00774746"/>
    <w:rsid w:val="00781B48"/>
    <w:rsid w:val="007847C7"/>
    <w:rsid w:val="00785A21"/>
    <w:rsid w:val="00787F55"/>
    <w:rsid w:val="007920B2"/>
    <w:rsid w:val="007939B4"/>
    <w:rsid w:val="00795BFE"/>
    <w:rsid w:val="007967BF"/>
    <w:rsid w:val="007A2029"/>
    <w:rsid w:val="007A305C"/>
    <w:rsid w:val="007B0F9E"/>
    <w:rsid w:val="007B2857"/>
    <w:rsid w:val="007B2B96"/>
    <w:rsid w:val="007B6AEF"/>
    <w:rsid w:val="007B7A3A"/>
    <w:rsid w:val="007C08E6"/>
    <w:rsid w:val="007D1A6C"/>
    <w:rsid w:val="007D6411"/>
    <w:rsid w:val="007D6967"/>
    <w:rsid w:val="007D73FE"/>
    <w:rsid w:val="007E10D2"/>
    <w:rsid w:val="007F1154"/>
    <w:rsid w:val="007F6FFA"/>
    <w:rsid w:val="00810E68"/>
    <w:rsid w:val="0081176E"/>
    <w:rsid w:val="0081589C"/>
    <w:rsid w:val="00832DAD"/>
    <w:rsid w:val="008411F1"/>
    <w:rsid w:val="00845BA3"/>
    <w:rsid w:val="00851FB8"/>
    <w:rsid w:val="0086417D"/>
    <w:rsid w:val="00870954"/>
    <w:rsid w:val="00874A8C"/>
    <w:rsid w:val="00877CE9"/>
    <w:rsid w:val="008915C2"/>
    <w:rsid w:val="00892133"/>
    <w:rsid w:val="00894DC1"/>
    <w:rsid w:val="008A335A"/>
    <w:rsid w:val="008A48A0"/>
    <w:rsid w:val="008A6ED4"/>
    <w:rsid w:val="008B1594"/>
    <w:rsid w:val="008B2E52"/>
    <w:rsid w:val="008B3A93"/>
    <w:rsid w:val="008C0440"/>
    <w:rsid w:val="008C30EB"/>
    <w:rsid w:val="008C73AC"/>
    <w:rsid w:val="008D346E"/>
    <w:rsid w:val="008D650B"/>
    <w:rsid w:val="008D701D"/>
    <w:rsid w:val="008E680A"/>
    <w:rsid w:val="008E6D1B"/>
    <w:rsid w:val="008E744C"/>
    <w:rsid w:val="008E7DAF"/>
    <w:rsid w:val="0090185D"/>
    <w:rsid w:val="00901E89"/>
    <w:rsid w:val="00904AEB"/>
    <w:rsid w:val="00906CB4"/>
    <w:rsid w:val="00906DDE"/>
    <w:rsid w:val="0092015A"/>
    <w:rsid w:val="009220DB"/>
    <w:rsid w:val="009247C1"/>
    <w:rsid w:val="00926551"/>
    <w:rsid w:val="009309A6"/>
    <w:rsid w:val="00934D5E"/>
    <w:rsid w:val="0094083F"/>
    <w:rsid w:val="009409EB"/>
    <w:rsid w:val="00947C70"/>
    <w:rsid w:val="00950913"/>
    <w:rsid w:val="00953EA7"/>
    <w:rsid w:val="0095542B"/>
    <w:rsid w:val="00955540"/>
    <w:rsid w:val="0095623E"/>
    <w:rsid w:val="00956E7E"/>
    <w:rsid w:val="0097582A"/>
    <w:rsid w:val="00976E22"/>
    <w:rsid w:val="00983B3F"/>
    <w:rsid w:val="009872BE"/>
    <w:rsid w:val="00987A72"/>
    <w:rsid w:val="0099203C"/>
    <w:rsid w:val="00996D72"/>
    <w:rsid w:val="00997D35"/>
    <w:rsid w:val="009A157E"/>
    <w:rsid w:val="009A4B6D"/>
    <w:rsid w:val="009A5223"/>
    <w:rsid w:val="009B0E54"/>
    <w:rsid w:val="009B1FA3"/>
    <w:rsid w:val="009B6447"/>
    <w:rsid w:val="009C02E4"/>
    <w:rsid w:val="009C15BA"/>
    <w:rsid w:val="009C2A0D"/>
    <w:rsid w:val="009C3578"/>
    <w:rsid w:val="009C60A1"/>
    <w:rsid w:val="009D0EA4"/>
    <w:rsid w:val="009D1713"/>
    <w:rsid w:val="009D2F50"/>
    <w:rsid w:val="009D33E3"/>
    <w:rsid w:val="009E0C2A"/>
    <w:rsid w:val="009E396E"/>
    <w:rsid w:val="009F1287"/>
    <w:rsid w:val="009F19AF"/>
    <w:rsid w:val="00A105F9"/>
    <w:rsid w:val="00A134D1"/>
    <w:rsid w:val="00A15FC4"/>
    <w:rsid w:val="00A178E0"/>
    <w:rsid w:val="00A2335B"/>
    <w:rsid w:val="00A27634"/>
    <w:rsid w:val="00A441F1"/>
    <w:rsid w:val="00A4473F"/>
    <w:rsid w:val="00A47EC0"/>
    <w:rsid w:val="00A56990"/>
    <w:rsid w:val="00A56FBA"/>
    <w:rsid w:val="00A57FC3"/>
    <w:rsid w:val="00A669F1"/>
    <w:rsid w:val="00A70FF7"/>
    <w:rsid w:val="00A74ACF"/>
    <w:rsid w:val="00A772E4"/>
    <w:rsid w:val="00A81592"/>
    <w:rsid w:val="00A8688E"/>
    <w:rsid w:val="00A91ECE"/>
    <w:rsid w:val="00A922A2"/>
    <w:rsid w:val="00AB0BDC"/>
    <w:rsid w:val="00AB1BEA"/>
    <w:rsid w:val="00AB386F"/>
    <w:rsid w:val="00AB518E"/>
    <w:rsid w:val="00AB536D"/>
    <w:rsid w:val="00AB56B5"/>
    <w:rsid w:val="00AC2695"/>
    <w:rsid w:val="00AC4B3F"/>
    <w:rsid w:val="00AC7D13"/>
    <w:rsid w:val="00AD13E2"/>
    <w:rsid w:val="00AD5B4D"/>
    <w:rsid w:val="00AD6A63"/>
    <w:rsid w:val="00AE0568"/>
    <w:rsid w:val="00AE1FCE"/>
    <w:rsid w:val="00AE397A"/>
    <w:rsid w:val="00AE5EB0"/>
    <w:rsid w:val="00AF50A3"/>
    <w:rsid w:val="00AF5E94"/>
    <w:rsid w:val="00B0004E"/>
    <w:rsid w:val="00B01633"/>
    <w:rsid w:val="00B061BB"/>
    <w:rsid w:val="00B0768A"/>
    <w:rsid w:val="00B10896"/>
    <w:rsid w:val="00B17D1E"/>
    <w:rsid w:val="00B231D5"/>
    <w:rsid w:val="00B24D5C"/>
    <w:rsid w:val="00B26854"/>
    <w:rsid w:val="00B3034D"/>
    <w:rsid w:val="00B352F2"/>
    <w:rsid w:val="00B36FDA"/>
    <w:rsid w:val="00B3710E"/>
    <w:rsid w:val="00B546AF"/>
    <w:rsid w:val="00B572D2"/>
    <w:rsid w:val="00B60A51"/>
    <w:rsid w:val="00B709D6"/>
    <w:rsid w:val="00B73D76"/>
    <w:rsid w:val="00B83A70"/>
    <w:rsid w:val="00B84D97"/>
    <w:rsid w:val="00B86D37"/>
    <w:rsid w:val="00B90980"/>
    <w:rsid w:val="00BA1C2E"/>
    <w:rsid w:val="00BA6CCE"/>
    <w:rsid w:val="00BA752D"/>
    <w:rsid w:val="00BB1CD2"/>
    <w:rsid w:val="00BB2BAB"/>
    <w:rsid w:val="00BC0235"/>
    <w:rsid w:val="00BC4780"/>
    <w:rsid w:val="00BC7FE5"/>
    <w:rsid w:val="00BD10C5"/>
    <w:rsid w:val="00BE0984"/>
    <w:rsid w:val="00BE0DF5"/>
    <w:rsid w:val="00BE1362"/>
    <w:rsid w:val="00BE2864"/>
    <w:rsid w:val="00BE6F90"/>
    <w:rsid w:val="00C01E9D"/>
    <w:rsid w:val="00C108C3"/>
    <w:rsid w:val="00C136B3"/>
    <w:rsid w:val="00C1526A"/>
    <w:rsid w:val="00C15E87"/>
    <w:rsid w:val="00C20271"/>
    <w:rsid w:val="00C23446"/>
    <w:rsid w:val="00C243CA"/>
    <w:rsid w:val="00C25ACB"/>
    <w:rsid w:val="00C27301"/>
    <w:rsid w:val="00C30979"/>
    <w:rsid w:val="00C34E23"/>
    <w:rsid w:val="00C407CB"/>
    <w:rsid w:val="00C47281"/>
    <w:rsid w:val="00C477CB"/>
    <w:rsid w:val="00C503E2"/>
    <w:rsid w:val="00C509AC"/>
    <w:rsid w:val="00C520DA"/>
    <w:rsid w:val="00C52A69"/>
    <w:rsid w:val="00C5580D"/>
    <w:rsid w:val="00C55CED"/>
    <w:rsid w:val="00C56AD7"/>
    <w:rsid w:val="00C57AD7"/>
    <w:rsid w:val="00C60E2E"/>
    <w:rsid w:val="00C66FED"/>
    <w:rsid w:val="00C71F23"/>
    <w:rsid w:val="00C7296B"/>
    <w:rsid w:val="00C73D9A"/>
    <w:rsid w:val="00C75884"/>
    <w:rsid w:val="00C776C5"/>
    <w:rsid w:val="00C81656"/>
    <w:rsid w:val="00C8227B"/>
    <w:rsid w:val="00C85A92"/>
    <w:rsid w:val="00C90A98"/>
    <w:rsid w:val="00C90F36"/>
    <w:rsid w:val="00C92D25"/>
    <w:rsid w:val="00CA0260"/>
    <w:rsid w:val="00CA46E6"/>
    <w:rsid w:val="00CB19CE"/>
    <w:rsid w:val="00CB3110"/>
    <w:rsid w:val="00CB4EFC"/>
    <w:rsid w:val="00CD1273"/>
    <w:rsid w:val="00CD2178"/>
    <w:rsid w:val="00CD5BBB"/>
    <w:rsid w:val="00CF6112"/>
    <w:rsid w:val="00D02259"/>
    <w:rsid w:val="00D02A25"/>
    <w:rsid w:val="00D1191C"/>
    <w:rsid w:val="00D13CBD"/>
    <w:rsid w:val="00D1698E"/>
    <w:rsid w:val="00D173F7"/>
    <w:rsid w:val="00D17F36"/>
    <w:rsid w:val="00D2003E"/>
    <w:rsid w:val="00D20D5A"/>
    <w:rsid w:val="00D23DF1"/>
    <w:rsid w:val="00D3005A"/>
    <w:rsid w:val="00D306B5"/>
    <w:rsid w:val="00D32B89"/>
    <w:rsid w:val="00D3393D"/>
    <w:rsid w:val="00D3538F"/>
    <w:rsid w:val="00D36BA5"/>
    <w:rsid w:val="00D41DAD"/>
    <w:rsid w:val="00D41DCA"/>
    <w:rsid w:val="00D427E8"/>
    <w:rsid w:val="00D42BA5"/>
    <w:rsid w:val="00D43D45"/>
    <w:rsid w:val="00D445B3"/>
    <w:rsid w:val="00D46F0B"/>
    <w:rsid w:val="00D54F23"/>
    <w:rsid w:val="00D57BB0"/>
    <w:rsid w:val="00D6489E"/>
    <w:rsid w:val="00D67562"/>
    <w:rsid w:val="00D709C8"/>
    <w:rsid w:val="00D71FA7"/>
    <w:rsid w:val="00D742EE"/>
    <w:rsid w:val="00D7452F"/>
    <w:rsid w:val="00D745F4"/>
    <w:rsid w:val="00D75EF3"/>
    <w:rsid w:val="00D7686A"/>
    <w:rsid w:val="00D7773D"/>
    <w:rsid w:val="00D80105"/>
    <w:rsid w:val="00D84A8D"/>
    <w:rsid w:val="00D852AD"/>
    <w:rsid w:val="00D87089"/>
    <w:rsid w:val="00D92E2B"/>
    <w:rsid w:val="00D92F7E"/>
    <w:rsid w:val="00D93DFC"/>
    <w:rsid w:val="00D96D0F"/>
    <w:rsid w:val="00DA04A8"/>
    <w:rsid w:val="00DA293B"/>
    <w:rsid w:val="00DA315A"/>
    <w:rsid w:val="00DB2203"/>
    <w:rsid w:val="00DB30C5"/>
    <w:rsid w:val="00DC228E"/>
    <w:rsid w:val="00DC2900"/>
    <w:rsid w:val="00DC43BE"/>
    <w:rsid w:val="00DC5156"/>
    <w:rsid w:val="00DC6E43"/>
    <w:rsid w:val="00DE1BD7"/>
    <w:rsid w:val="00DE1DDA"/>
    <w:rsid w:val="00DE3BAB"/>
    <w:rsid w:val="00DF514B"/>
    <w:rsid w:val="00DF7D3C"/>
    <w:rsid w:val="00E001B3"/>
    <w:rsid w:val="00E00A70"/>
    <w:rsid w:val="00E01A6F"/>
    <w:rsid w:val="00E03F22"/>
    <w:rsid w:val="00E11DD0"/>
    <w:rsid w:val="00E15D90"/>
    <w:rsid w:val="00E21063"/>
    <w:rsid w:val="00E22CA8"/>
    <w:rsid w:val="00E24669"/>
    <w:rsid w:val="00E24F4F"/>
    <w:rsid w:val="00E2572F"/>
    <w:rsid w:val="00E25FD6"/>
    <w:rsid w:val="00E2768A"/>
    <w:rsid w:val="00E30093"/>
    <w:rsid w:val="00E33857"/>
    <w:rsid w:val="00E3488A"/>
    <w:rsid w:val="00E34968"/>
    <w:rsid w:val="00E35EE8"/>
    <w:rsid w:val="00E4168F"/>
    <w:rsid w:val="00E4288D"/>
    <w:rsid w:val="00E43C19"/>
    <w:rsid w:val="00E46618"/>
    <w:rsid w:val="00E60938"/>
    <w:rsid w:val="00E60B2F"/>
    <w:rsid w:val="00E60CBC"/>
    <w:rsid w:val="00E62C3B"/>
    <w:rsid w:val="00E63B3C"/>
    <w:rsid w:val="00E66C4A"/>
    <w:rsid w:val="00E73F04"/>
    <w:rsid w:val="00E74133"/>
    <w:rsid w:val="00E83654"/>
    <w:rsid w:val="00E84360"/>
    <w:rsid w:val="00E85BDF"/>
    <w:rsid w:val="00E91263"/>
    <w:rsid w:val="00E95231"/>
    <w:rsid w:val="00E97632"/>
    <w:rsid w:val="00EA2D65"/>
    <w:rsid w:val="00EA5C7B"/>
    <w:rsid w:val="00EA668E"/>
    <w:rsid w:val="00EB7DF5"/>
    <w:rsid w:val="00EC3CC8"/>
    <w:rsid w:val="00EC4444"/>
    <w:rsid w:val="00EC6C85"/>
    <w:rsid w:val="00EC6E6E"/>
    <w:rsid w:val="00ED335C"/>
    <w:rsid w:val="00ED6501"/>
    <w:rsid w:val="00ED681C"/>
    <w:rsid w:val="00ED78ED"/>
    <w:rsid w:val="00EE1915"/>
    <w:rsid w:val="00EE4DC0"/>
    <w:rsid w:val="00EE687E"/>
    <w:rsid w:val="00EF1331"/>
    <w:rsid w:val="00EF2C32"/>
    <w:rsid w:val="00EF5E07"/>
    <w:rsid w:val="00EF6F17"/>
    <w:rsid w:val="00EF703B"/>
    <w:rsid w:val="00EF708D"/>
    <w:rsid w:val="00F06336"/>
    <w:rsid w:val="00F1269E"/>
    <w:rsid w:val="00F1476A"/>
    <w:rsid w:val="00F20D4A"/>
    <w:rsid w:val="00F228A1"/>
    <w:rsid w:val="00F27293"/>
    <w:rsid w:val="00F31543"/>
    <w:rsid w:val="00F35B9C"/>
    <w:rsid w:val="00F53BB5"/>
    <w:rsid w:val="00F57463"/>
    <w:rsid w:val="00F62B11"/>
    <w:rsid w:val="00F6527F"/>
    <w:rsid w:val="00F700BD"/>
    <w:rsid w:val="00F745A4"/>
    <w:rsid w:val="00F74662"/>
    <w:rsid w:val="00F808E4"/>
    <w:rsid w:val="00F86E36"/>
    <w:rsid w:val="00F9061A"/>
    <w:rsid w:val="00F93039"/>
    <w:rsid w:val="00FA5BB5"/>
    <w:rsid w:val="00FD07E3"/>
    <w:rsid w:val="00FD1F05"/>
    <w:rsid w:val="00FD4E87"/>
    <w:rsid w:val="00FD5971"/>
    <w:rsid w:val="00FE07A8"/>
    <w:rsid w:val="00FE516A"/>
    <w:rsid w:val="00FF028A"/>
    <w:rsid w:val="00FF044F"/>
    <w:rsid w:val="00FF3C9B"/>
    <w:rsid w:val="00FF5847"/>
    <w:rsid w:val="00FF7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36F8AA"/>
  <w15:docId w15:val="{4A45A575-3427-40FE-9780-B45BCD41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ndNoteBibliographyTitle">
    <w:name w:val="EndNote Bibliography Title"/>
    <w:basedOn w:val="Normale"/>
    <w:link w:val="EndNoteBibliographyTitleCarattere"/>
    <w:rsid w:val="00C47281"/>
    <w:pPr>
      <w:spacing w:after="0"/>
      <w:jc w:val="center"/>
    </w:pPr>
    <w:rPr>
      <w:rFonts w:ascii="Calibri" w:hAnsi="Calibri" w:cs="Calibri"/>
      <w:noProof/>
    </w:rPr>
  </w:style>
  <w:style w:type="character" w:customStyle="1" w:styleId="EndNoteBibliographyTitleCarattere">
    <w:name w:val="EndNote Bibliography Title Carattere"/>
    <w:basedOn w:val="Carpredefinitoparagrafo"/>
    <w:link w:val="EndNoteBibliographyTitle"/>
    <w:rsid w:val="00C47281"/>
    <w:rPr>
      <w:rFonts w:ascii="Calibri" w:hAnsi="Calibri" w:cs="Calibri"/>
      <w:noProof/>
    </w:rPr>
  </w:style>
  <w:style w:type="paragraph" w:customStyle="1" w:styleId="EndNoteBibliography">
    <w:name w:val="EndNote Bibliography"/>
    <w:basedOn w:val="Normale"/>
    <w:link w:val="EndNoteBibliographyCarattere"/>
    <w:rsid w:val="00C47281"/>
    <w:pPr>
      <w:spacing w:line="240" w:lineRule="auto"/>
      <w:jc w:val="both"/>
    </w:pPr>
    <w:rPr>
      <w:rFonts w:ascii="Calibri" w:hAnsi="Calibri" w:cs="Calibri"/>
      <w:noProof/>
    </w:rPr>
  </w:style>
  <w:style w:type="character" w:customStyle="1" w:styleId="EndNoteBibliographyCarattere">
    <w:name w:val="EndNote Bibliography Carattere"/>
    <w:basedOn w:val="Carpredefinitoparagrafo"/>
    <w:link w:val="EndNoteBibliography"/>
    <w:rsid w:val="00C47281"/>
    <w:rPr>
      <w:rFonts w:ascii="Calibri" w:hAnsi="Calibri" w:cs="Calibri"/>
      <w:noProof/>
    </w:rPr>
  </w:style>
  <w:style w:type="paragraph" w:styleId="Revisione">
    <w:name w:val="Revision"/>
    <w:hidden/>
    <w:uiPriority w:val="99"/>
    <w:semiHidden/>
    <w:rsid w:val="002645EC"/>
    <w:pPr>
      <w:spacing w:after="0" w:line="240" w:lineRule="auto"/>
    </w:pPr>
  </w:style>
  <w:style w:type="paragraph" w:styleId="Testofumetto">
    <w:name w:val="Balloon Text"/>
    <w:basedOn w:val="Normale"/>
    <w:link w:val="TestofumettoCarattere"/>
    <w:uiPriority w:val="99"/>
    <w:semiHidden/>
    <w:unhideWhenUsed/>
    <w:rsid w:val="002645E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645EC"/>
    <w:rPr>
      <w:rFonts w:ascii="Segoe UI" w:hAnsi="Segoe UI" w:cs="Segoe UI"/>
      <w:sz w:val="18"/>
      <w:szCs w:val="18"/>
    </w:rPr>
  </w:style>
  <w:style w:type="character" w:styleId="Rimandocommento">
    <w:name w:val="annotation reference"/>
    <w:basedOn w:val="Carpredefinitoparagrafo"/>
    <w:uiPriority w:val="99"/>
    <w:semiHidden/>
    <w:unhideWhenUsed/>
    <w:rsid w:val="00A4473F"/>
    <w:rPr>
      <w:sz w:val="16"/>
      <w:szCs w:val="16"/>
    </w:rPr>
  </w:style>
  <w:style w:type="paragraph" w:styleId="Testocommento">
    <w:name w:val="annotation text"/>
    <w:basedOn w:val="Normale"/>
    <w:link w:val="TestocommentoCarattere"/>
    <w:uiPriority w:val="99"/>
    <w:semiHidden/>
    <w:unhideWhenUsed/>
    <w:rsid w:val="00A447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4473F"/>
    <w:rPr>
      <w:sz w:val="20"/>
      <w:szCs w:val="20"/>
    </w:rPr>
  </w:style>
  <w:style w:type="paragraph" w:styleId="Soggettocommento">
    <w:name w:val="annotation subject"/>
    <w:basedOn w:val="Testocommento"/>
    <w:next w:val="Testocommento"/>
    <w:link w:val="SoggettocommentoCarattere"/>
    <w:uiPriority w:val="99"/>
    <w:semiHidden/>
    <w:unhideWhenUsed/>
    <w:rsid w:val="00A4473F"/>
    <w:rPr>
      <w:b/>
      <w:bCs/>
    </w:rPr>
  </w:style>
  <w:style w:type="character" w:customStyle="1" w:styleId="SoggettocommentoCarattere">
    <w:name w:val="Soggetto commento Carattere"/>
    <w:basedOn w:val="TestocommentoCarattere"/>
    <w:link w:val="Soggettocommento"/>
    <w:uiPriority w:val="99"/>
    <w:semiHidden/>
    <w:rsid w:val="00A4473F"/>
    <w:rPr>
      <w:b/>
      <w:bCs/>
      <w:sz w:val="20"/>
      <w:szCs w:val="20"/>
    </w:rPr>
  </w:style>
  <w:style w:type="paragraph" w:styleId="Intestazione">
    <w:name w:val="header"/>
    <w:basedOn w:val="Normale"/>
    <w:link w:val="IntestazioneCarattere"/>
    <w:uiPriority w:val="99"/>
    <w:unhideWhenUsed/>
    <w:rsid w:val="00AE5EB0"/>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AE5EB0"/>
  </w:style>
  <w:style w:type="paragraph" w:styleId="Pidipagina">
    <w:name w:val="footer"/>
    <w:basedOn w:val="Normale"/>
    <w:link w:val="PidipaginaCarattere"/>
    <w:uiPriority w:val="99"/>
    <w:unhideWhenUsed/>
    <w:rsid w:val="00AE5EB0"/>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AE5EB0"/>
  </w:style>
  <w:style w:type="character" w:styleId="Collegamentoipertestuale">
    <w:name w:val="Hyperlink"/>
    <w:basedOn w:val="Carpredefinitoparagrafo"/>
    <w:uiPriority w:val="99"/>
    <w:semiHidden/>
    <w:unhideWhenUsed/>
    <w:rsid w:val="00DA04A8"/>
    <w:rPr>
      <w:color w:val="0000FF"/>
      <w:u w:val="single"/>
    </w:rPr>
  </w:style>
  <w:style w:type="paragraph" w:styleId="Testonotaapidipagina">
    <w:name w:val="footnote text"/>
    <w:basedOn w:val="Normale"/>
    <w:link w:val="TestonotaapidipaginaCarattere"/>
    <w:uiPriority w:val="99"/>
    <w:semiHidden/>
    <w:unhideWhenUsed/>
    <w:rsid w:val="006F551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F5513"/>
    <w:rPr>
      <w:sz w:val="20"/>
      <w:szCs w:val="20"/>
    </w:rPr>
  </w:style>
  <w:style w:type="character" w:styleId="Rimandonotaapidipagina">
    <w:name w:val="footnote reference"/>
    <w:basedOn w:val="Carpredefinitoparagrafo"/>
    <w:uiPriority w:val="99"/>
    <w:semiHidden/>
    <w:unhideWhenUsed/>
    <w:rsid w:val="006F5513"/>
    <w:rPr>
      <w:vertAlign w:val="superscript"/>
    </w:rPr>
  </w:style>
  <w:style w:type="character" w:styleId="Numeroriga">
    <w:name w:val="line number"/>
    <w:basedOn w:val="Carpredefinitoparagrafo"/>
    <w:uiPriority w:val="99"/>
    <w:semiHidden/>
    <w:unhideWhenUsed/>
    <w:rsid w:val="002F5940"/>
  </w:style>
  <w:style w:type="paragraph" w:styleId="NormaleWeb">
    <w:name w:val="Normal (Web)"/>
    <w:basedOn w:val="Normale"/>
    <w:uiPriority w:val="99"/>
    <w:semiHidden/>
    <w:unhideWhenUsed/>
    <w:rsid w:val="000B73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42478">
      <w:bodyDiv w:val="1"/>
      <w:marLeft w:val="0"/>
      <w:marRight w:val="0"/>
      <w:marTop w:val="0"/>
      <w:marBottom w:val="0"/>
      <w:divBdr>
        <w:top w:val="none" w:sz="0" w:space="0" w:color="auto"/>
        <w:left w:val="none" w:sz="0" w:space="0" w:color="auto"/>
        <w:bottom w:val="none" w:sz="0" w:space="0" w:color="auto"/>
        <w:right w:val="none" w:sz="0" w:space="0" w:color="auto"/>
      </w:divBdr>
      <w:divsChild>
        <w:div w:id="1951929798">
          <w:marLeft w:val="640"/>
          <w:marRight w:val="0"/>
          <w:marTop w:val="0"/>
          <w:marBottom w:val="0"/>
          <w:divBdr>
            <w:top w:val="none" w:sz="0" w:space="0" w:color="auto"/>
            <w:left w:val="none" w:sz="0" w:space="0" w:color="auto"/>
            <w:bottom w:val="none" w:sz="0" w:space="0" w:color="auto"/>
            <w:right w:val="none" w:sz="0" w:space="0" w:color="auto"/>
          </w:divBdr>
        </w:div>
        <w:div w:id="1697269723">
          <w:marLeft w:val="640"/>
          <w:marRight w:val="0"/>
          <w:marTop w:val="0"/>
          <w:marBottom w:val="0"/>
          <w:divBdr>
            <w:top w:val="none" w:sz="0" w:space="0" w:color="auto"/>
            <w:left w:val="none" w:sz="0" w:space="0" w:color="auto"/>
            <w:bottom w:val="none" w:sz="0" w:space="0" w:color="auto"/>
            <w:right w:val="none" w:sz="0" w:space="0" w:color="auto"/>
          </w:divBdr>
        </w:div>
        <w:div w:id="850143705">
          <w:marLeft w:val="640"/>
          <w:marRight w:val="0"/>
          <w:marTop w:val="0"/>
          <w:marBottom w:val="0"/>
          <w:divBdr>
            <w:top w:val="none" w:sz="0" w:space="0" w:color="auto"/>
            <w:left w:val="none" w:sz="0" w:space="0" w:color="auto"/>
            <w:bottom w:val="none" w:sz="0" w:space="0" w:color="auto"/>
            <w:right w:val="none" w:sz="0" w:space="0" w:color="auto"/>
          </w:divBdr>
        </w:div>
        <w:div w:id="2008710353">
          <w:marLeft w:val="640"/>
          <w:marRight w:val="0"/>
          <w:marTop w:val="0"/>
          <w:marBottom w:val="0"/>
          <w:divBdr>
            <w:top w:val="none" w:sz="0" w:space="0" w:color="auto"/>
            <w:left w:val="none" w:sz="0" w:space="0" w:color="auto"/>
            <w:bottom w:val="none" w:sz="0" w:space="0" w:color="auto"/>
            <w:right w:val="none" w:sz="0" w:space="0" w:color="auto"/>
          </w:divBdr>
        </w:div>
        <w:div w:id="2069454677">
          <w:marLeft w:val="640"/>
          <w:marRight w:val="0"/>
          <w:marTop w:val="0"/>
          <w:marBottom w:val="0"/>
          <w:divBdr>
            <w:top w:val="none" w:sz="0" w:space="0" w:color="auto"/>
            <w:left w:val="none" w:sz="0" w:space="0" w:color="auto"/>
            <w:bottom w:val="none" w:sz="0" w:space="0" w:color="auto"/>
            <w:right w:val="none" w:sz="0" w:space="0" w:color="auto"/>
          </w:divBdr>
        </w:div>
        <w:div w:id="1591043801">
          <w:marLeft w:val="640"/>
          <w:marRight w:val="0"/>
          <w:marTop w:val="0"/>
          <w:marBottom w:val="0"/>
          <w:divBdr>
            <w:top w:val="none" w:sz="0" w:space="0" w:color="auto"/>
            <w:left w:val="none" w:sz="0" w:space="0" w:color="auto"/>
            <w:bottom w:val="none" w:sz="0" w:space="0" w:color="auto"/>
            <w:right w:val="none" w:sz="0" w:space="0" w:color="auto"/>
          </w:divBdr>
        </w:div>
        <w:div w:id="1230069760">
          <w:marLeft w:val="640"/>
          <w:marRight w:val="0"/>
          <w:marTop w:val="0"/>
          <w:marBottom w:val="0"/>
          <w:divBdr>
            <w:top w:val="none" w:sz="0" w:space="0" w:color="auto"/>
            <w:left w:val="none" w:sz="0" w:space="0" w:color="auto"/>
            <w:bottom w:val="none" w:sz="0" w:space="0" w:color="auto"/>
            <w:right w:val="none" w:sz="0" w:space="0" w:color="auto"/>
          </w:divBdr>
        </w:div>
      </w:divsChild>
    </w:div>
    <w:div w:id="331569902">
      <w:bodyDiv w:val="1"/>
      <w:marLeft w:val="0"/>
      <w:marRight w:val="0"/>
      <w:marTop w:val="0"/>
      <w:marBottom w:val="0"/>
      <w:divBdr>
        <w:top w:val="none" w:sz="0" w:space="0" w:color="auto"/>
        <w:left w:val="none" w:sz="0" w:space="0" w:color="auto"/>
        <w:bottom w:val="none" w:sz="0" w:space="0" w:color="auto"/>
        <w:right w:val="none" w:sz="0" w:space="0" w:color="auto"/>
      </w:divBdr>
    </w:div>
    <w:div w:id="447823784">
      <w:bodyDiv w:val="1"/>
      <w:marLeft w:val="0"/>
      <w:marRight w:val="0"/>
      <w:marTop w:val="0"/>
      <w:marBottom w:val="0"/>
      <w:divBdr>
        <w:top w:val="none" w:sz="0" w:space="0" w:color="auto"/>
        <w:left w:val="none" w:sz="0" w:space="0" w:color="auto"/>
        <w:bottom w:val="none" w:sz="0" w:space="0" w:color="auto"/>
        <w:right w:val="none" w:sz="0" w:space="0" w:color="auto"/>
      </w:divBdr>
      <w:divsChild>
        <w:div w:id="1042292027">
          <w:marLeft w:val="480"/>
          <w:marRight w:val="0"/>
          <w:marTop w:val="0"/>
          <w:marBottom w:val="0"/>
          <w:divBdr>
            <w:top w:val="none" w:sz="0" w:space="0" w:color="auto"/>
            <w:left w:val="none" w:sz="0" w:space="0" w:color="auto"/>
            <w:bottom w:val="none" w:sz="0" w:space="0" w:color="auto"/>
            <w:right w:val="none" w:sz="0" w:space="0" w:color="auto"/>
          </w:divBdr>
        </w:div>
        <w:div w:id="1986355843">
          <w:marLeft w:val="480"/>
          <w:marRight w:val="0"/>
          <w:marTop w:val="0"/>
          <w:marBottom w:val="0"/>
          <w:divBdr>
            <w:top w:val="none" w:sz="0" w:space="0" w:color="auto"/>
            <w:left w:val="none" w:sz="0" w:space="0" w:color="auto"/>
            <w:bottom w:val="none" w:sz="0" w:space="0" w:color="auto"/>
            <w:right w:val="none" w:sz="0" w:space="0" w:color="auto"/>
          </w:divBdr>
        </w:div>
        <w:div w:id="1872303481">
          <w:marLeft w:val="480"/>
          <w:marRight w:val="0"/>
          <w:marTop w:val="0"/>
          <w:marBottom w:val="0"/>
          <w:divBdr>
            <w:top w:val="none" w:sz="0" w:space="0" w:color="auto"/>
            <w:left w:val="none" w:sz="0" w:space="0" w:color="auto"/>
            <w:bottom w:val="none" w:sz="0" w:space="0" w:color="auto"/>
            <w:right w:val="none" w:sz="0" w:space="0" w:color="auto"/>
          </w:divBdr>
        </w:div>
        <w:div w:id="1336805971">
          <w:marLeft w:val="480"/>
          <w:marRight w:val="0"/>
          <w:marTop w:val="0"/>
          <w:marBottom w:val="0"/>
          <w:divBdr>
            <w:top w:val="none" w:sz="0" w:space="0" w:color="auto"/>
            <w:left w:val="none" w:sz="0" w:space="0" w:color="auto"/>
            <w:bottom w:val="none" w:sz="0" w:space="0" w:color="auto"/>
            <w:right w:val="none" w:sz="0" w:space="0" w:color="auto"/>
          </w:divBdr>
        </w:div>
        <w:div w:id="254018441">
          <w:marLeft w:val="480"/>
          <w:marRight w:val="0"/>
          <w:marTop w:val="0"/>
          <w:marBottom w:val="0"/>
          <w:divBdr>
            <w:top w:val="none" w:sz="0" w:space="0" w:color="auto"/>
            <w:left w:val="none" w:sz="0" w:space="0" w:color="auto"/>
            <w:bottom w:val="none" w:sz="0" w:space="0" w:color="auto"/>
            <w:right w:val="none" w:sz="0" w:space="0" w:color="auto"/>
          </w:divBdr>
        </w:div>
        <w:div w:id="574121872">
          <w:marLeft w:val="480"/>
          <w:marRight w:val="0"/>
          <w:marTop w:val="0"/>
          <w:marBottom w:val="0"/>
          <w:divBdr>
            <w:top w:val="none" w:sz="0" w:space="0" w:color="auto"/>
            <w:left w:val="none" w:sz="0" w:space="0" w:color="auto"/>
            <w:bottom w:val="none" w:sz="0" w:space="0" w:color="auto"/>
            <w:right w:val="none" w:sz="0" w:space="0" w:color="auto"/>
          </w:divBdr>
        </w:div>
        <w:div w:id="724842143">
          <w:marLeft w:val="480"/>
          <w:marRight w:val="0"/>
          <w:marTop w:val="0"/>
          <w:marBottom w:val="0"/>
          <w:divBdr>
            <w:top w:val="none" w:sz="0" w:space="0" w:color="auto"/>
            <w:left w:val="none" w:sz="0" w:space="0" w:color="auto"/>
            <w:bottom w:val="none" w:sz="0" w:space="0" w:color="auto"/>
            <w:right w:val="none" w:sz="0" w:space="0" w:color="auto"/>
          </w:divBdr>
        </w:div>
      </w:divsChild>
    </w:div>
    <w:div w:id="879510387">
      <w:bodyDiv w:val="1"/>
      <w:marLeft w:val="0"/>
      <w:marRight w:val="0"/>
      <w:marTop w:val="0"/>
      <w:marBottom w:val="0"/>
      <w:divBdr>
        <w:top w:val="none" w:sz="0" w:space="0" w:color="auto"/>
        <w:left w:val="none" w:sz="0" w:space="0" w:color="auto"/>
        <w:bottom w:val="none" w:sz="0" w:space="0" w:color="auto"/>
        <w:right w:val="none" w:sz="0" w:space="0" w:color="auto"/>
      </w:divBdr>
    </w:div>
    <w:div w:id="1336880438">
      <w:bodyDiv w:val="1"/>
      <w:marLeft w:val="0"/>
      <w:marRight w:val="0"/>
      <w:marTop w:val="0"/>
      <w:marBottom w:val="0"/>
      <w:divBdr>
        <w:top w:val="none" w:sz="0" w:space="0" w:color="auto"/>
        <w:left w:val="none" w:sz="0" w:space="0" w:color="auto"/>
        <w:bottom w:val="none" w:sz="0" w:space="0" w:color="auto"/>
        <w:right w:val="none" w:sz="0" w:space="0" w:color="auto"/>
      </w:divBdr>
      <w:divsChild>
        <w:div w:id="383532566">
          <w:marLeft w:val="480"/>
          <w:marRight w:val="0"/>
          <w:marTop w:val="0"/>
          <w:marBottom w:val="0"/>
          <w:divBdr>
            <w:top w:val="none" w:sz="0" w:space="0" w:color="auto"/>
            <w:left w:val="none" w:sz="0" w:space="0" w:color="auto"/>
            <w:bottom w:val="none" w:sz="0" w:space="0" w:color="auto"/>
            <w:right w:val="none" w:sz="0" w:space="0" w:color="auto"/>
          </w:divBdr>
        </w:div>
        <w:div w:id="1700005536">
          <w:marLeft w:val="480"/>
          <w:marRight w:val="0"/>
          <w:marTop w:val="0"/>
          <w:marBottom w:val="0"/>
          <w:divBdr>
            <w:top w:val="none" w:sz="0" w:space="0" w:color="auto"/>
            <w:left w:val="none" w:sz="0" w:space="0" w:color="auto"/>
            <w:bottom w:val="none" w:sz="0" w:space="0" w:color="auto"/>
            <w:right w:val="none" w:sz="0" w:space="0" w:color="auto"/>
          </w:divBdr>
        </w:div>
        <w:div w:id="1098871070">
          <w:marLeft w:val="480"/>
          <w:marRight w:val="0"/>
          <w:marTop w:val="0"/>
          <w:marBottom w:val="0"/>
          <w:divBdr>
            <w:top w:val="none" w:sz="0" w:space="0" w:color="auto"/>
            <w:left w:val="none" w:sz="0" w:space="0" w:color="auto"/>
            <w:bottom w:val="none" w:sz="0" w:space="0" w:color="auto"/>
            <w:right w:val="none" w:sz="0" w:space="0" w:color="auto"/>
          </w:divBdr>
        </w:div>
        <w:div w:id="952324614">
          <w:marLeft w:val="480"/>
          <w:marRight w:val="0"/>
          <w:marTop w:val="0"/>
          <w:marBottom w:val="0"/>
          <w:divBdr>
            <w:top w:val="none" w:sz="0" w:space="0" w:color="auto"/>
            <w:left w:val="none" w:sz="0" w:space="0" w:color="auto"/>
            <w:bottom w:val="none" w:sz="0" w:space="0" w:color="auto"/>
            <w:right w:val="none" w:sz="0" w:space="0" w:color="auto"/>
          </w:divBdr>
        </w:div>
        <w:div w:id="1251964460">
          <w:marLeft w:val="480"/>
          <w:marRight w:val="0"/>
          <w:marTop w:val="0"/>
          <w:marBottom w:val="0"/>
          <w:divBdr>
            <w:top w:val="none" w:sz="0" w:space="0" w:color="auto"/>
            <w:left w:val="none" w:sz="0" w:space="0" w:color="auto"/>
            <w:bottom w:val="none" w:sz="0" w:space="0" w:color="auto"/>
            <w:right w:val="none" w:sz="0" w:space="0" w:color="auto"/>
          </w:divBdr>
        </w:div>
        <w:div w:id="486750681">
          <w:marLeft w:val="480"/>
          <w:marRight w:val="0"/>
          <w:marTop w:val="0"/>
          <w:marBottom w:val="0"/>
          <w:divBdr>
            <w:top w:val="none" w:sz="0" w:space="0" w:color="auto"/>
            <w:left w:val="none" w:sz="0" w:space="0" w:color="auto"/>
            <w:bottom w:val="none" w:sz="0" w:space="0" w:color="auto"/>
            <w:right w:val="none" w:sz="0" w:space="0" w:color="auto"/>
          </w:divBdr>
        </w:div>
        <w:div w:id="1439984469">
          <w:marLeft w:val="480"/>
          <w:marRight w:val="0"/>
          <w:marTop w:val="0"/>
          <w:marBottom w:val="0"/>
          <w:divBdr>
            <w:top w:val="none" w:sz="0" w:space="0" w:color="auto"/>
            <w:left w:val="none" w:sz="0" w:space="0" w:color="auto"/>
            <w:bottom w:val="none" w:sz="0" w:space="0" w:color="auto"/>
            <w:right w:val="none" w:sz="0" w:space="0" w:color="auto"/>
          </w:divBdr>
        </w:div>
      </w:divsChild>
    </w:div>
    <w:div w:id="1867251862">
      <w:bodyDiv w:val="1"/>
      <w:marLeft w:val="0"/>
      <w:marRight w:val="0"/>
      <w:marTop w:val="0"/>
      <w:marBottom w:val="0"/>
      <w:divBdr>
        <w:top w:val="none" w:sz="0" w:space="0" w:color="auto"/>
        <w:left w:val="none" w:sz="0" w:space="0" w:color="auto"/>
        <w:bottom w:val="none" w:sz="0" w:space="0" w:color="auto"/>
        <w:right w:val="none" w:sz="0" w:space="0" w:color="auto"/>
      </w:divBdr>
    </w:div>
    <w:div w:id="1902709528">
      <w:bodyDiv w:val="1"/>
      <w:marLeft w:val="0"/>
      <w:marRight w:val="0"/>
      <w:marTop w:val="0"/>
      <w:marBottom w:val="0"/>
      <w:divBdr>
        <w:top w:val="none" w:sz="0" w:space="0" w:color="auto"/>
        <w:left w:val="none" w:sz="0" w:space="0" w:color="auto"/>
        <w:bottom w:val="none" w:sz="0" w:space="0" w:color="auto"/>
        <w:right w:val="none" w:sz="0" w:space="0" w:color="auto"/>
      </w:divBdr>
    </w:div>
    <w:div w:id="1981223274">
      <w:bodyDiv w:val="1"/>
      <w:marLeft w:val="0"/>
      <w:marRight w:val="0"/>
      <w:marTop w:val="0"/>
      <w:marBottom w:val="0"/>
      <w:divBdr>
        <w:top w:val="none" w:sz="0" w:space="0" w:color="auto"/>
        <w:left w:val="none" w:sz="0" w:space="0" w:color="auto"/>
        <w:bottom w:val="none" w:sz="0" w:space="0" w:color="auto"/>
        <w:right w:val="none" w:sz="0" w:space="0" w:color="auto"/>
      </w:divBdr>
      <w:divsChild>
        <w:div w:id="1107502493">
          <w:marLeft w:val="0"/>
          <w:marRight w:val="0"/>
          <w:marTop w:val="0"/>
          <w:marBottom w:val="0"/>
          <w:divBdr>
            <w:top w:val="none" w:sz="0" w:space="0" w:color="auto"/>
            <w:left w:val="none" w:sz="0" w:space="0" w:color="auto"/>
            <w:bottom w:val="none" w:sz="0" w:space="0" w:color="auto"/>
            <w:right w:val="none" w:sz="0" w:space="0" w:color="auto"/>
          </w:divBdr>
        </w:div>
        <w:div w:id="1519586498">
          <w:marLeft w:val="0"/>
          <w:marRight w:val="0"/>
          <w:marTop w:val="0"/>
          <w:marBottom w:val="0"/>
          <w:divBdr>
            <w:top w:val="none" w:sz="0" w:space="0" w:color="auto"/>
            <w:left w:val="none" w:sz="0" w:space="0" w:color="auto"/>
            <w:bottom w:val="none" w:sz="0" w:space="0" w:color="auto"/>
            <w:right w:val="none" w:sz="0" w:space="0" w:color="auto"/>
          </w:divBdr>
          <w:divsChild>
            <w:div w:id="637341508">
              <w:marLeft w:val="0"/>
              <w:marRight w:val="0"/>
              <w:marTop w:val="0"/>
              <w:marBottom w:val="0"/>
              <w:divBdr>
                <w:top w:val="none" w:sz="0" w:space="0" w:color="auto"/>
                <w:left w:val="none" w:sz="0" w:space="0" w:color="auto"/>
                <w:bottom w:val="none" w:sz="0" w:space="0" w:color="auto"/>
                <w:right w:val="none" w:sz="0" w:space="0" w:color="auto"/>
              </w:divBdr>
            </w:div>
            <w:div w:id="1269661117">
              <w:marLeft w:val="0"/>
              <w:marRight w:val="0"/>
              <w:marTop w:val="0"/>
              <w:marBottom w:val="0"/>
              <w:divBdr>
                <w:top w:val="none" w:sz="0" w:space="0" w:color="auto"/>
                <w:left w:val="none" w:sz="0" w:space="0" w:color="auto"/>
                <w:bottom w:val="none" w:sz="0" w:space="0" w:color="auto"/>
                <w:right w:val="none" w:sz="0" w:space="0" w:color="auto"/>
              </w:divBdr>
            </w:div>
            <w:div w:id="1593079759">
              <w:marLeft w:val="0"/>
              <w:marRight w:val="0"/>
              <w:marTop w:val="0"/>
              <w:marBottom w:val="0"/>
              <w:divBdr>
                <w:top w:val="none" w:sz="0" w:space="0" w:color="auto"/>
                <w:left w:val="none" w:sz="0" w:space="0" w:color="auto"/>
                <w:bottom w:val="none" w:sz="0" w:space="0" w:color="auto"/>
                <w:right w:val="none" w:sz="0" w:space="0" w:color="auto"/>
              </w:divBdr>
            </w:div>
            <w:div w:id="1964193210">
              <w:marLeft w:val="0"/>
              <w:marRight w:val="0"/>
              <w:marTop w:val="0"/>
              <w:marBottom w:val="0"/>
              <w:divBdr>
                <w:top w:val="none" w:sz="0" w:space="0" w:color="auto"/>
                <w:left w:val="none" w:sz="0" w:space="0" w:color="auto"/>
                <w:bottom w:val="none" w:sz="0" w:space="0" w:color="auto"/>
                <w:right w:val="none" w:sz="0" w:space="0" w:color="auto"/>
              </w:divBdr>
            </w:div>
            <w:div w:id="17780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2F82FF-6D49-4324-996D-8C033479A13B}">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f6d763c3-4f04-49b9-b249-d1742cbdbbd3&quot;,&quot;properties&quot;:{&quot;noteIndex&quot;:0},&quot;isEdited&quot;:false,&quot;manualOverride&quot;:{&quot;isManuallyOverridden&quot;:false,&quot;citeprocText&quot;:&quot;[1]&quot;,&quot;manualOverrideText&quot;:&quot;&quot;},&quot;citationTag&quot;:&quot;MENDELEY_CITATION_v3_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&quot;,&quot;citationItems&quot;:[{&quot;id&quot;:&quot;09e6d0f2-67c6-3ba5-bd83-6abf36d86feb&quot;,&quot;itemData&quot;:{&quot;type&quot;:&quot;article-journal&quot;,&quot;id&quot;:&quot;09e6d0f2-67c6-3ba5-bd83-6abf36d86feb&quot;,&quot;title&quot;:&quot;Smoking-dependent reprogramming of alveolar macrophage polarization: implication for pathogenesis of chronic obstructive pulmonary disease&quot;,&quot;author&quot;:[{&quot;family&quot;:&quot;Shaykhiev&quot;,&quot;given&quot;:&quot;Renat&quot;,&quot;parse-names&quot;:false,&quot;dropping-particle&quot;:&quot;&quot;,&quot;non-dropping-particle&quot;:&quot;&quot;},{&quot;family&quot;:&quot;Krause&quot;,&quot;given&quot;:&quot;Anja&quot;,&quot;parse-names&quot;:false,&quot;dropping-particle&quot;:&quot;&quot;,&quot;non-dropping-particle&quot;:&quot;&quot;},{&quot;family&quot;:&quot;Salit&quot;,&quot;given&quot;:&quot;Jacqueline&quot;,&quot;parse-names&quot;:false,&quot;dropping-particle&quot;:&quot;&quot;,&quot;non-dropping-particle&quot;:&quot;&quot;},{&quot;family&quot;:&quot;Strulovici-Barel&quot;,&quot;given&quot;:&quot;Yael&quot;,&quot;parse-names&quot;:false,&quot;dropping-particle&quot;:&quot;&quot;,&quot;non-dropping-particle&quot;:&quot;&quot;},{&quot;family&quot;:&quot;Harvey&quot;,&quot;given&quot;:&quot;Ben-Gary&quot;,&quot;parse-names&quot;:false,&quot;dropping-particle&quot;:&quot;&quot;,&quot;non-dropping-particle&quot;:&quot;&quot;},{&quot;family&quot;:&quot;O'Connor&quot;,&quot;given&quot;:&quot;Timothy P.&quot;,&quot;parse-names&quot;:false,&quot;dropping-particle&quot;:&quot;&quot;,&quot;non-dropping-particle&quot;:&quot;&quot;},{&quot;family&quot;:&quot;Crystal&quot;,&quot;given&quot;:&quot;Ronald G.&quot;,&quot;parse-names&quot;:false,&quot;dropping-particle&quot;:&quot;&quot;,&quot;non-dropping-particle&quot;:&quot;&quot;}],&quot;container-title&quot;:&quot;Journal of immunology (Baltimore, Md. : 1950)&quot;,&quot;container-title-short&quot;:&quot;J Immunol&quot;,&quot;accessed&quot;:{&quot;date-parts&quot;:[[2023,5,25]]},&quot;DOI&quot;:&quot;10.4049/JIMMUNOL.0900473&quot;,&quot;ISSN&quot;:&quot;1550-6606&quot;,&quot;PMID&quot;:&quot;19635926&quot;,&quot;URL&quot;:&quot;https://pubmed.ncbi.nlm.nih.gov/19635926/&quot;,&quot;issued&quot;:{&quot;date-parts&quot;:[[2009,8,15]]},&quot;page&quot;:&quot;2867-2883&quot;,&quot;abstract&quot;:&quot;When exposed to a specific microenvironment, macrophages acquire either M1- or M2-polarized phenotypes associated with inflammation and tissue remodeling, respectively. Alveolar macrophages (AM) directly interact with environmental stimuli such as cigarette smoke, the major risk factor for chronic obstructive pulmonary disease (COPD), a disease characterized by lung inflammation and remodeling. Transcriptional profiling of AM obtained by bronchoalveolar lavage of 24 healthy nonsmokers, 34 healthy smokers, and 12 COPD smokers was performed to test the hypothesis whether smoking alters AM polarization, resulting in a disease-relevant activation phenotype. The analysis revealed that AM of healthy smokers exhibited a unique polarization pattern characterized by substantial suppression of M1-related inflammatory/immune genes and induction of genes associated with various M2-polarization programs relevant to tissue remodeling and immunoregulation. Such reciprocal changes progressed with the development of COPD, with M1-related gene expression being most dramatically down-regulated (p &amp;lt; 0.0001 vs healthy nonsmokers, p &amp;lt; 0.002 vs healthy smokers). Results were confirmed with TaqMan real-time PCR and flow cytometry. Among progressively down-regulated M1-related genes were those encoding type I chemokines CXCL9, CXCL10, CXCL11, and CCL5. Progressive activation of M2-related program was characterized by induction of tissue remodeling and immunoregulatory genes such as matrix metalloproteinase (MMP)2, MMP7, and adenosine A3 receptor (ADORA3). Principal component analysis revealed that differential expression of polarization-related genes has substantial contribution to global AM phenotypes associated with smoking and COPD. In summary, the data provide transcriptome-based evidence that AM likely contribute to COPD pathogenesis in a noninflammatory manner due to their smoking-induced reprogramming toward M1-deactivated, partially M2-polarized macrophages.&quot;,&quot;publisher&quot;:&quot;J Immunol&quot;,&quot;issue&quot;:&quot;4&quot;,&quot;volume&quot;:&quot;183&quot;},&quot;isTemporary&quot;:false}]},{&quot;citationID&quot;:&quot;MENDELEY_CITATION_043b70bf-234f-41ce-92b1-116b3e89311a&quot;,&quot;properties&quot;:{&quot;noteIndex&quot;:0},&quot;isEdited&quot;:false,&quot;manualOverride&quot;:{&quot;isManuallyOverridden&quot;:false,&quot;citeprocText&quot;:&quot;[2]&quot;,&quot;manualOverrideText&quot;:&quot;&quot;},&quot;citationTag&quot;:&quot;MENDELEY_CITATION_v3_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&quot;,&quot;citationItems&quot;:[{&quot;id&quot;:&quot;d32049ef-1022-3f6e-a6e8-3056f0f56e0e&quot;,&quot;itemData&quot;:{&quot;type&quot;:&quot;article-journal&quot;,&quot;id&quot;:&quot;d32049ef-1022-3f6e-a6e8-3056f0f56e0e&quot;,&quot;title&quot;:&quot;A distinctive alveolar macrophage activation state induced by cigarette smoking&quot;,&quot;author&quot;:[{&quot;family&quot;:&quot;Woodruff&quot;,&quot;given&quot;:&quot;Prescott G.&quot;,&quot;parse-names&quot;:false,&quot;dropping-particle&quot;:&quot;&quot;,&quot;non-dropping-particle&quot;:&quot;&quot;},{&quot;family&quot;:&quot;Koth&quot;,&quot;given&quot;:&quot;Laura L.&quot;,&quot;parse-names&quot;:false,&quot;dropping-particle&quot;:&quot;&quot;,&quot;non-dropping-particle&quot;:&quot;&quot;},{&quot;family&quot;:&quot;Yang&quot;,&quot;given&quot;:&quot;Yee Hwa&quot;,&quot;parse-names&quot;:false,&quot;dropping-particle&quot;:&quot;&quot;,&quot;non-dropping-particle&quot;:&quot;&quot;},{&quot;family&quot;:&quot;Rodriguez&quot;,&quot;given&quot;:&quot;Madeleine W.&quot;,&quot;parse-names&quot;:false,&quot;dropping-particle&quot;:&quot;&quot;,&quot;non-dropping-particle&quot;:&quot;&quot;},{&quot;family&quot;:&quot;Favoreto&quot;,&quot;given&quot;:&quot;Silvio&quot;,&quot;parse-names&quot;:false,&quot;dropping-particle&quot;:&quot;&quot;,&quot;non-dropping-particle&quot;:&quot;&quot;},{&quot;family&quot;:&quot;Dolganov&quot;,&quot;given&quot;:&quot;Gregory M.&quot;,&quot;parse-names&quot;:false,&quot;dropping-particle&quot;:&quot;&quot;,&quot;non-dropping-particle&quot;:&quot;&quot;},{&quot;family&quot;:&quot;Paquet&quot;,&quot;given&quot;:&quot;Agnes C.&quot;,&quot;parse-names&quot;:false,&quot;dropping-particle&quot;:&quot;&quot;,&quot;non-dropping-particle&quot;:&quot;&quot;},{&quot;family&quot;:&quot;Erle&quot;,&quot;given&quot;:&quot;David J.&quot;,&quot;parse-names&quot;:false,&quot;dropping-particle&quot;:&quot;&quot;,&quot;non-dropping-particle&quot;:&quot;&quot;}],&quot;container-title&quot;:&quot;American journal of respiratory and critical care medicine&quot;,&quot;container-title-short&quot;:&quot;Am J Respir Crit Care Med&quot;,&quot;accessed&quot;:{&quot;date-parts&quot;:[[2023,5,25]]},&quot;DOI&quot;:&quot;10.1164/RCCM.200505-686OC&quot;,&quot;ISSN&quot;:&quot;1073-449X&quot;,&quot;PMID&quot;:&quot;16166618&quot;,&quot;URL&quot;:&quot;https://pubmed.ncbi.nlm.nih.gov/16166618/&quot;,&quot;issued&quot;:{&quot;date-parts&quot;:[[2005,12,1]]},&quot;page&quot;:&quot;1383-1392&quot;,&quot;abstract&quot;:&quot;Rationale: Macrophages are believed to play a central role in emphysema based largely on data from mouse models. However, the relevance of these models to smoking-related lung disease in humans is uncertain. Objectives: We sought to comprehensively characterize the effects of smoking on gene expression in human alveolar macrophages and to compare these with effects seen in transgenic mouse models of emphysema. Methods: We used DNA microarrays with genomewide coverage to analyze alveolar macrophages from 15 smokers, 15 nonsmokers,and 15 subjects with asthma (disease control). Selected gene expression changes were validated by polymerase chain reaction and ELISA. Expression changes were compared with those identified by microarray analysis of interleukin-13-overexpressing and integrin-β6-deficient mice, which both develop emphysema. Measurements and Main Results: All 15 smokers shared a common pattern of macrophage gene expression that distinguished them from nonsmokers, a finding not observed in subjects with asthma. We identified 110 genes as differentially expressed in smokers despite using conservative statistical methods. Matrix metalloproteinase 12, a proteinase that plays a critical role in mouse models, was the third most highly induced gene in smokers (ninefold, p &lt; 0.0001). However, most changes in smokers were not reflected in mouse models. One such finding was increased osteopontin expression in smokers (fourfold, p = 0.006), which was confirmed at the protein level and correlated with the degree of airway obstruction. Conclusions: Smoking induces a remarkably consistent and distinctive pattern of alveolar macrophage activation. These studies identify aspects of mouse models that are directly relevant to human smokers and also reveal novel potential mediators of smoking-related diseases.&quot;,&quot;publisher&quot;:&quot;Am J Respir Crit Care Med&quot;,&quot;issue&quot;:&quot;11&quot;,&quot;volume&quot;:&quot;172&quot;},&quot;isTemporary&quot;:false}]},{&quot;citationID&quot;:&quot;MENDELEY_CITATION_5f9be87c-2a3f-4a20-bbdd-57861c1f0bdd&quot;,&quot;properties&quot;:{&quot;noteIndex&quot;:0},&quot;isEdited&quot;:false,&quot;manualOverride&quot;:{&quot;isManuallyOverridden&quot;:false,&quot;citeprocText&quot;:&quot;[3]&quot;,&quot;manualOverrideText&quot;:&quot;&quot;},&quot;citationTag&quot;:&quot;MENDELEY_CITATION_v3_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&quot;,&quot;citationItems&quot;:[{&quot;id&quot;:&quot;d23310a7-c90b-3035-a3ae-e342f54863c3&quot;,&quot;itemData&quot;:{&quot;type&quot;:&quot;article-journal&quot;,&quot;id&quot;:&quot;d23310a7-c90b-3035-a3ae-e342f54863c3&quot;,&quot;title&quot;:&quot;affy—analysis of Affymetrix GeneChip data at the probe level&quot;,&quot;author&quot;:[{&quot;family&quot;:&quot;Gautier&quot;,&quot;given&quot;:&quot;Laurent&quot;,&quot;parse-names&quot;:false,&quot;dropping-particle&quot;:&quot;&quot;,&quot;non-dropping-particle&quot;:&quot;&quot;},{&quot;family&quot;:&quot;Cope&quot;,&quot;given&quot;:&quot;Leslie&quot;,&quot;parse-names&quot;:false,&quot;dropping-particle&quot;:&quot;&quot;,&quot;non-dropping-particle&quot;:&quot;&quot;},{&quot;family&quot;:&quot;Bolstad&quot;,&quot;given&quot;:&quot;Benjamin M.&quot;,&quot;parse-names&quot;:false,&quot;dropping-particle&quot;:&quot;&quot;,&quot;non-dropping-particle&quot;:&quot;&quot;},{&quot;family&quot;:&quot;Irizarry&quot;,&quot;given&quot;:&quot;Rafael A.&quot;,&quot;parse-names&quot;:false,&quot;dropping-particle&quot;:&quot;&quot;,&quot;non-dropping-particle&quot;:&quot;&quot;}],&quot;container-title&quot;:&quot;Bioinformatics&quot;,&quot;accessed&quot;:{&quot;date-parts&quot;:[[2023,5,25]]},&quot;DOI&quot;:&quot;10.1093/BIOINFORMATICS/BTG405&quot;,&quot;ISSN&quot;:&quot;1367-4803&quot;,&quot;PMID&quot;:&quot;14960456&quot;,&quot;URL&quot;:&quot;https://academic.oup.com/bioinformatics/article/20/3/307/185980&quot;,&quot;issued&quot;:{&quot;date-parts&quot;:[[2004,2,12]]},&quot;page&quot;:&quot;307-315&quot;,&quot;abstract&quot;:&quot;Motivation: The processing of the Affymetrix GeneChip data has been a recent focus for data analysts. Alternatives to the original procedure have been proposed and some of these new methods are widely used. Results: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the main classes and functions in the package and demonstrate how they can be used to process probe-level data. We also demonstrate the importance of probe-level analysis when using the Affymetrix GeneChip platform.&quot;,&quot;publisher&quot;:&quot;Oxford Academic&quot;,&quot;issue&quot;:&quot;3&quot;,&quot;volume&quot;:&quot;20&quot;,&quot;container-title-short&quot;:&quot;&quot;},&quot;isTemporary&quot;:false}]},{&quot;citationID&quot;:&quot;MENDELEY_CITATION_c91a0c3e-74d6-4bce-a67e-a97141fa1b64&quot;,&quot;properties&quot;:{&quot;noteIndex&quot;:0},&quot;isEdited&quot;:false,&quot;manualOverride&quot;:{&quot;isManuallyOverridden&quot;:false,&quot;citeprocText&quot;:&quot;[4]&quot;,&quot;manualOverrideText&quot;:&quot;&quot;},&quot;citationTag&quot;:&quot;MENDELEY_CITATION_v3_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&quot;,&quot;citationItems&quot;:[{&quot;id&quot;:&quot;0e582c3e-92ed-377a-9d31-9351370bdc08&quot;,&quot;itemData&quot;:{&quot;type&quot;:&quot;article-journal&quot;,&quot;id&quot;:&quot;0e582c3e-92ed-377a-9d31-9351370bdc08&quot;,&quot;title&quot;:&quot;Exploration, normalization, and summaries of high density oligonucleotide array probe level data&quot;,&quot;author&quot;:[{&quot;family&quot;:&quot;Irizarry&quot;,&quot;given&quot;:&quot;Rafael A.&quot;,&quot;parse-names&quot;:false,&quot;dropping-particle&quot;:&quot;&quot;,&quot;non-dropping-particle&quot;:&quot;&quot;},{&quot;family&quot;:&quot;Hobbs&quot;,&quot;given&quot;:&quot;Bridget&quot;,&quot;parse-names&quot;:false,&quot;dropping-particle&quot;:&quot;&quot;,&quot;non-dropping-particle&quot;:&quot;&quot;},{&quot;family&quot;:&quot;Collin&quot;,&quot;given&quot;:&quot;Francois&quot;,&quot;parse-names&quot;:false,&quot;dropping-particle&quot;:&quot;&quot;,&quot;non-dropping-particle&quot;:&quot;&quot;},{&quot;family&quot;:&quot;Beazer-Barclay&quot;,&quot;given&quot;:&quot;Yasmin D.&quot;,&quot;parse-names&quot;:false,&quot;dropping-particle&quot;:&quot;&quot;,&quot;non-dropping-particle&quot;:&quot;&quot;},{&quot;family&quot;:&quot;Antonellis&quot;,&quot;given&quot;:&quot;Kristen J.&quot;,&quot;parse-names&quot;:false,&quot;dropping-particle&quot;:&quot;&quot;,&quot;non-dropping-particle&quot;:&quot;&quot;},{&quot;family&quot;:&quot;Scherf&quot;,&quot;given&quot;:&quot;Uwe&quot;,&quot;parse-names&quot;:false,&quot;dropping-particle&quot;:&quot;&quot;,&quot;non-dropping-particle&quot;:&quot;&quot;},{&quot;family&quot;:&quot;Speed&quot;,&quot;given&quot;:&quot;Terence P.&quot;,&quot;parse-names&quot;:false,&quot;dropping-particle&quot;:&quot;&quot;,&quot;non-dropping-particle&quot;:&quot;&quot;}],&quot;container-title&quot;:&quot;Biostatistics (Oxford, England)&quot;,&quot;container-title-short&quot;:&quot;Biostatistics&quot;,&quot;accessed&quot;:{&quot;date-parts&quot;:[[2023,5,25]]},&quot;DOI&quot;:&quot;10.1093/BIOSTATISTICS/4.2.249&quot;,&quot;ISSN&quot;:&quot;1465-4644&quot;,&quot;PMID&quot;:&quot;12925520&quot;,&quot;URL&quot;:&quot;https://pubmed.ncbi.nlm.nih.gov/12925520/&quot;,&quot;issued&quot;:{&quot;date-parts&quot;:[[2003]]},&quot;page&quot;:&quot;249-264&quot;,&quot;abstract&quot;:&quot;In this paper we report exploratory analyses of high-density oligonucleotide array data from the Affymetrix GeneChip system with the objective of improving upon currently used measures of gene expression. Our analyses make use of three data sets: a small experimental study consisting of five MGU74A mouse GeneChip arrays, part of the data from an extensive spike-in study conducted by Gene Logic and Wyeth's Genetics Institute involving 95 HG-U95A human GeneChip arrays; and part of a dilution study conducted by Gene Logic involving 75 HG-U95A GeneChip arrays. We display some familiar features of the perfect match and mismatch probe (PM and MM) values of these data, and examine the variance-mean relationship with probe-level data from probes believed to be defective, and so delivering noise only. We explain why we need to normalize the arrays to one another using probe level intensities. We then examine the behavior of the PM and MM using spike-in data and assess three commonly used summary measures: Affymetrix's (i) average difference (AvDiff) and (ii) MAS 5.0 signal, and (iii) the Li and Wong multiplicative model-based expression index (MBEI). The exploratory data analyses of the probe level data motivate a new summary measure that is a robust multi-array average (RMA) of background-adjusted, normalized, and log-transformed PM values. We evaluate the four expression summary measures using the dilution study data, assessing their behavior in terms of bias, variance and (for MBEI and RMA) model fit. Finally, we evaluate the algorithms in terms of their ability to detect known levels of differential expression using the spike-in data. We conclude that there is no obvious downside to using RMA and attaching a standard error (SE) to this quantity using a linear model which removes probe-specific affinities.&quot;,&quot;publisher&quot;:&quot;Biostatistics&quot;,&quot;issue&quot;:&quot;2&quot;,&quot;volume&quot;:&quot;4&quot;},&quot;isTemporary&quot;:false}]},{&quot;citationID&quot;:&quot;MENDELEY_CITATION_5fa430ba-86a9-4cba-8f82-4e6079f21318&quot;,&quot;properties&quot;:{&quot;noteIndex&quot;:0},&quot;isEdited&quot;:false,&quot;manualOverride&quot;:{&quot;isManuallyOverridden&quot;:false,&quot;citeprocText&quot;:&quot;[5]&quot;,&quot;manualOverrideText&quot;:&quot;&quot;},&quot;citationTag&quot;:&quot;MENDELEY_CITATION_v3_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&quot;,&quot;citationItems&quot;:[{&quot;id&quot;:&quot;82d1dc67-89ca-3276-9847-f12e07fddebb&quot;,&quot;itemData&quot;:{&quot;type&quot;:&quot;article-journal&quot;,&quot;id&quot;:&quot;82d1dc67-89ca-3276-9847-f12e07fddebb&quot;,&quot;title&quot;:&quot;Adjusting batch effects in microarray expression data using empirical Bayes methods&quot;,&quot;author&quot;:[{&quot;family&quot;:&quot;Johnson&quot;,&quot;given&quot;:&quot;W. Evan&quot;,&quot;parse-names&quot;:false,&quot;dropping-particle&quot;:&quot;&quot;,&quot;non-dropping-particle&quot;:&quot;&quot;},{&quot;family&quot;:&quot;Li&quot;,&quot;given&quot;:&quot;Cheng&quot;,&quot;parse-names&quot;:false,&quot;dropping-particle&quot;:&quot;&quot;,&quot;non-dropping-particle&quot;:&quot;&quot;},{&quot;family&quot;:&quot;Rabinovic&quot;,&quot;given&quot;:&quot;Ariel&quot;,&quot;parse-names&quot;:false,&quot;dropping-particle&quot;:&quot;&quot;,&quot;non-dropping-particle&quot;:&quot;&quot;}],&quot;container-title&quot;:&quot;Biostatistics&quot;,&quot;accessed&quot;:{&quot;date-parts&quot;:[[2023,5,25]]},&quot;DOI&quot;:&quot;10.1093/BIOSTATISTICS/KXJ037&quot;,&quot;ISSN&quot;:&quot;1465-4644&quot;,&quot;PMID&quot;:&quot;16632515&quot;,&quot;URL&quot;:&quot;https://academic.oup.com/biostatistics/article/8/1/118/252073&quot;,&quot;issued&quot;:{&quot;date-parts&quot;:[[2007,1,1]]},&quot;page&quot;:&quot;118-127&quot;,&quot;abstract&quot;:&quot;Non-biological experimental variation or \&quot;batch effects\&quot; are commonly observed across multiple batches of microarray experiments, often rendering the task of combining data from these batches difficult. The ability to combine microarray data sets is advantageous to researchers to increase statistical power to detect biological phenomena from studies where logistical considerations restrict sample size or in studies that require the sequential hybridization of arrays. In general, it is inappropriate to combine data sets without adjusting for batch effects. Methods have been proposed to filter batch effects from data, but these are often complicated and require large batch sizes (≥ 25) to implement. Because the majority of microarray studies are conducted using much smaller sample sizes, existing methods are not sufficient. We propose parametric and non-parametric empirical Bayes frameworks for adjusting data for batch effects that is robust to outliers in small sample sizes and performs comparable to existing methods for large samples. We illustrate our methods using two example data sets and show that our methods are justifiable, easy to apply, and useful in practice. Software for our method is freely available at: http://biosun1.harvard.edu/complab/batch/.&quot;,&quot;publisher&quot;:&quot;Oxford Academic&quot;,&quot;issue&quot;:&quot;1&quot;,&quot;volume&quot;:&quot;8&quot;,&quot;container-title-short&quot;:&quot;&quot;},&quot;isTemporary&quot;:false}]},{&quot;citationID&quot;:&quot;MENDELEY_CITATION_46cdbe64-6bba-4738-bb3c-b7bde35cd1ce&quot;,&quot;properties&quot;:{&quot;noteIndex&quot;:0},&quot;isEdited&quot;:false,&quot;manualOverride&quot;:{&quot;isManuallyOverridden&quot;:false,&quot;citeprocText&quot;:&quot;[6]&quot;,&quot;manualOverrideText&quot;:&quot;&quot;},&quot;citationTag&quot;:&quot;MENDELEY_CITATION_v3_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&quot;,&quot;citationItems&quot;:[{&quot;id&quot;:&quot;4c38e41b-8b62-3e25-b2c6-d9f480b55fb7&quot;,&quot;itemData&quot;:{&quot;type&quot;:&quot;article-journal&quot;,&quot;id&quot;:&quot;4c38e41b-8b62-3e25-b2c6-d9f480b55fb7&quot;,&quot;title&quot;:&quot;limma powers differential expression analyses for RNA-sequencing and microarray studies&quot;,&quot;author&quot;:[{&quot;family&quot;:&quot;Ritchie&quot;,&quot;given&quot;:&quot;Matthew E.&quot;,&quot;parse-names&quot;:false,&quot;dropping-particle&quot;:&quot;&quot;,&quot;non-dropping-particle&quot;:&quot;&quot;},{&quot;family&quot;:&quot;Phipson&quot;,&quot;given&quot;:&quot;Belinda&quot;,&quot;parse-names&quot;:false,&quot;dropping-particle&quot;:&quot;&quot;,&quot;non-dropping-particle&quot;:&quot;&quot;},{&quot;family&quot;:&quot;Wu&quot;,&quot;given&quot;:&quot;Di&quot;,&quot;parse-names&quot;:false,&quot;dropping-particle&quot;:&quot;&quot;,&quot;non-dropping-particle&quot;:&quot;&quot;},{&quot;family&quot;:&quot;Hu&quot;,&quot;given&quot;:&quot;Yifang&quot;,&quot;parse-names&quot;:false,&quot;dropping-particle&quot;:&quot;&quot;,&quot;non-dropping-particle&quot;:&quot;&quot;},{&quot;family&quot;:&quot;Law&quot;,&quot;given&quot;:&quot;Charity W.&quot;,&quot;parse-names&quot;:false,&quot;dropping-particle&quot;:&quot;&quot;,&quot;non-dropping-particle&quot;:&quot;&quot;},{&quot;family&quot;:&quot;Shi&quot;,&quot;given&quot;:&quot;Wei&quot;,&quot;parse-names&quot;:false,&quot;dropping-particle&quot;:&quot;&quot;,&quot;non-dropping-particle&quot;:&quot;&quot;},{&quot;family&quot;:&quot;Smyth&quot;,&quot;given&quot;:&quot;Gordon K.&quot;,&quot;parse-names&quot;:false,&quot;dropping-particle&quot;:&quot;&quot;,&quot;non-dropping-particle&quot;:&quot;&quot;}],&quot;container-title&quot;:&quot;Nucleic acids research&quot;,&quot;container-title-short&quot;:&quot;Nucleic Acids Res&quot;,&quot;accessed&quot;:{&quot;date-parts&quot;:[[2023,5,25]]},&quot;DOI&quot;:&quot;10.1093/NAR/GKV007&quot;,&quot;ISSN&quot;:&quot;1362-4962&quot;,&quot;PMID&quot;:&quot;25605792&quot;,&quot;URL&quot;:&quot;https://pubmed.ncbi.nlm.nih.gov/25605792/&quot;,&quot;issued&quot;:{&quot;date-parts&quot;:[[2015,1,6]]},&quot;page&quot;:&quot;e47&quot;,&quot;abstract&quot;:&quo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quot;,&quot;publisher&quot;:&quot;Nucleic Acids Res&quot;,&quot;issue&quot;:&quot;7&quot;,&quot;volume&quot;:&quot;43&quot;},&quot;isTemporary&quot;:false}]},{&quot;citationID&quot;:&quot;MENDELEY_CITATION_6fa856cf-3224-4a46-8991-1e45a7fcaa90&quot;,&quot;properties&quot;:{&quot;noteIndex&quot;:0},&quot;isEdited&quot;:false,&quot;manualOverride&quot;:{&quot;isManuallyOverridden&quot;:false,&quot;citeprocText&quot;:&quot;[7]&quot;,&quot;manualOverrideText&quot;:&quot;&quot;},&quot;citationTag&quot;:&quot;MENDELEY_CITATION_v3_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&quot;,&quot;citationItems&quot;:[{&quot;id&quot;:&quot;e8d7e336-ef20-3864-a6f4-24cc2ffb45b7&quot;,&quot;itemData&quot;:{&quot;type&quot;:&quot;article-journal&quot;,&quot;id&quot;:&quot;e8d7e336-ef20-3864-a6f4-24cc2ffb45b7&quot;,&quot;title&quot;:&quot;clusterProfiler 4.0: A universal enrichment tool for interpreting omics data&quot;,&quot;author&quot;:[{&quot;family&quot;:&quot;Wu&quot;,&quot;given&quot;:&quot;Tianzhi&quot;,&quot;parse-names&quot;:false,&quot;dropping-particle&quot;:&quot;&quot;,&quot;non-dropping-particle&quot;:&quot;&quot;},{&quot;family&quot;:&quot;Hu&quot;,&quot;given&quot;:&quot;Erqiang&quot;,&quot;parse-names&quot;:false,&quot;dropping-particle&quot;:&quot;&quot;,&quot;non-dropping-particle&quot;:&quot;&quot;},{&quot;family&quot;:&quot;Xu&quot;,&quot;given&quot;:&quot;Shuangbin&quot;,&quot;parse-names&quot;:false,&quot;dropping-particle&quot;:&quot;&quot;,&quot;non-dropping-particle&quot;:&quot;&quot;},{&quot;family&quot;:&quot;Chen&quot;,&quot;given&quot;:&quot;Meijun&quot;,&quot;parse-names&quot;:false,&quot;dropping-particle&quot;:&quot;&quot;,&quot;non-dropping-particle&quot;:&quot;&quot;},{&quot;family&quot;:&quot;Guo&quot;,&quot;given&quot;:&quot;Pingfan&quot;,&quot;parse-names&quot;:false,&quot;dropping-particle&quot;:&quot;&quot;,&quot;non-dropping-particle&quot;:&quot;&quot;},{&quot;family&quot;:&quot;Dai&quot;,&quot;given&quot;:&quot;Zehan&quot;,&quot;parse-names&quot;:false,&quot;dropping-particle&quot;:&quot;&quot;,&quot;non-dropping-particle&quot;:&quot;&quot;},{&quot;family&quot;:&quot;Feng&quot;,&quot;given&quot;:&quot;Tingze&quot;,&quot;parse-names&quot;:false,&quot;dropping-particle&quot;:&quot;&quot;,&quot;non-dropping-particle&quot;:&quot;&quot;},{&quot;family&quot;:&quot;Zhou&quot;,&quot;given&quot;:&quot;Lang&quot;,&quot;parse-names&quot;:false,&quot;dropping-particle&quot;:&quot;&quot;,&quot;non-dropping-particle&quot;:&quot;&quot;},{&quot;family&quot;:&quot;Tang&quot;,&quot;given&quot;:&quot;Wenli&quot;,&quot;parse-names&quot;:false,&quot;dropping-particle&quot;:&quot;&quot;,&quot;non-dropping-particle&quot;:&quot;&quot;},{&quot;family&quot;:&quot;Zhan&quot;,&quot;given&quot;:&quot;Li&quot;,&quot;parse-names&quot;:false,&quot;dropping-particle&quot;:&quot;&quot;,&quot;non-dropping-particle&quot;:&quot;&quot;},{&quot;family&quot;:&quot;Fu&quot;,&quot;given&quot;:&quot;Xiaocong&quot;,&quot;parse-names&quot;:false,&quot;dropping-particle&quot;:&quot;&quot;,&quot;non-dropping-particle&quot;:&quot;&quot;},{&quot;family&quot;:&quot;Liu&quot;,&quot;given&quot;:&quot;Shanshan&quot;,&quot;parse-names&quot;:false,&quot;dropping-particle&quot;:&quot;&quot;,&quot;non-dropping-particle&quot;:&quot;&quot;},{&quot;family&quot;:&quot;Bo&quot;,&quot;given&quot;:&quot;Xiaochen&quot;,&quot;parse-names&quot;:false,&quot;dropping-particle&quot;:&quot;&quot;,&quot;non-dropping-particle&quot;:&quot;&quot;},{&quot;family&quot;:&quot;Yu&quot;,&quot;given&quot;:&quot;Guangchuang&quot;,&quot;parse-names&quot;:false,&quot;dropping-particle&quot;:&quot;&quot;,&quot;non-dropping-particle&quot;:&quot;&quot;}],&quot;container-title&quot;:&quot;The Innovation&quot;,&quot;accessed&quot;:{&quot;date-parts&quot;:[[2023,5,25]]},&quot;DOI&quot;:&quot;10.1016/j.xinn.2021.100141&quot;,&quot;URL&quot;:&quot;https://doi.org/10.1016/j.xinn.2021.100141&quot;,&quot;issued&quot;:{&quot;date-parts&quot;:[[2021]]},&quot;page&quot;:&quot;100141&quot;,&quot;volume&quot;:&quot;2&quot;,&quot;container-title-short&quot;:&quot;&quot;},&quot;isTemporary&quot;:false}]}]"/>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931a3f5-6189-48b5-bdaa-cd95924b3a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6C3875EAF5B9247B56FACE51AD51930" ma:contentTypeVersion="16" ma:contentTypeDescription="Creare un nuovo documento." ma:contentTypeScope="" ma:versionID="135e96be76a15c2f9fa1a5599ee4ab2a">
  <xsd:schema xmlns:xsd="http://www.w3.org/2001/XMLSchema" xmlns:xs="http://www.w3.org/2001/XMLSchema" xmlns:p="http://schemas.microsoft.com/office/2006/metadata/properties" xmlns:ns3="1931a3f5-6189-48b5-bdaa-cd95924b3ab0" xmlns:ns4="9659bcc1-5eeb-4faf-a71f-89d4d7336a8b" targetNamespace="http://schemas.microsoft.com/office/2006/metadata/properties" ma:root="true" ma:fieldsID="a2ec238aa79239cd7c95f3ecf578c540" ns3:_="" ns4:_="">
    <xsd:import namespace="1931a3f5-6189-48b5-bdaa-cd95924b3ab0"/>
    <xsd:import namespace="9659bcc1-5eeb-4faf-a71f-89d4d7336a8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1a3f5-6189-48b5-bdaa-cd95924b3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9bcc1-5eeb-4faf-a71f-89d4d7336a8b"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BCAA-DFCC-4E2F-9DDB-03A58B42C83F}">
  <ds:schemaRefs>
    <ds:schemaRef ds:uri="http://schemas.microsoft.com/office/2006/metadata/properties"/>
    <ds:schemaRef ds:uri="http://schemas.microsoft.com/office/infopath/2007/PartnerControls"/>
    <ds:schemaRef ds:uri="1931a3f5-6189-48b5-bdaa-cd95924b3ab0"/>
  </ds:schemaRefs>
</ds:datastoreItem>
</file>

<file path=customXml/itemProps2.xml><?xml version="1.0" encoding="utf-8"?>
<ds:datastoreItem xmlns:ds="http://schemas.openxmlformats.org/officeDocument/2006/customXml" ds:itemID="{AA658F03-93F4-4CA8-87CC-2CB67D1A8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1a3f5-6189-48b5-bdaa-cd95924b3ab0"/>
    <ds:schemaRef ds:uri="9659bcc1-5eeb-4faf-a71f-89d4d7336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BB30F-A2F2-4AFE-9D5E-139C9A8F176D}">
  <ds:schemaRefs>
    <ds:schemaRef ds:uri="http://schemas.microsoft.com/sharepoint/v3/contenttype/forms"/>
  </ds:schemaRefs>
</ds:datastoreItem>
</file>

<file path=customXml/itemProps4.xml><?xml version="1.0" encoding="utf-8"?>
<ds:datastoreItem xmlns:ds="http://schemas.openxmlformats.org/officeDocument/2006/customXml" ds:itemID="{CECA3E1C-B1A9-46B1-AA4D-74A26E1AD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41</Words>
  <Characters>238</Characters>
  <Application>Microsoft Office Word</Application>
  <DocSecurity>0</DocSecurity>
  <Lines>1</Lines>
  <Paragraphs>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Cipollina, Chiara</dc:creator>
  <cp:keywords/>
  <dc:description/>
  <cp:lastModifiedBy>Cristaldi, Marta</cp:lastModifiedBy>
  <cp:revision>11</cp:revision>
  <cp:lastPrinted>2022-06-06T10:30:00Z</cp:lastPrinted>
  <dcterms:created xsi:type="dcterms:W3CDTF">2023-09-29T08:30:00Z</dcterms:created>
  <dcterms:modified xsi:type="dcterms:W3CDTF">2023-09-29T13:04:00Z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0x01010006C3875EAF5B9247B56FACE51AD51930</vt:lpwstr>
  </property>
  <property fmtid="{D5CDD505-2E9C-101B-9397-08002B2CF9AE}" pid="3" name="_activity">
    <vt:lpwstr/>
  </property>
</Properties>
</file>