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AC2B8" w14:textId="77777777" w:rsidR="005C0D89" w:rsidRPr="00862BE9" w:rsidRDefault="005C0D89" w:rsidP="005C0D89">
      <w:pPr>
        <w:spacing w:line="480" w:lineRule="auto"/>
        <w:jc w:val="both"/>
        <w:rPr>
          <w:b/>
          <w:color w:val="000000" w:themeColor="text1"/>
          <w:sz w:val="24"/>
          <w:szCs w:val="24"/>
        </w:rPr>
      </w:pPr>
      <w:r w:rsidRPr="00862BE9">
        <w:rPr>
          <w:b/>
          <w:color w:val="000000" w:themeColor="text1"/>
          <w:sz w:val="24"/>
          <w:szCs w:val="24"/>
        </w:rPr>
        <w:t>Supplementary Materials</w:t>
      </w:r>
    </w:p>
    <w:p w14:paraId="2F1D02C8" w14:textId="77777777" w:rsidR="005C0D89" w:rsidRPr="00862BE9" w:rsidRDefault="005C0D89" w:rsidP="005C0D89">
      <w:pPr>
        <w:spacing w:line="480" w:lineRule="auto"/>
        <w:jc w:val="both"/>
        <w:rPr>
          <w:b/>
          <w:color w:val="000000" w:themeColor="text1"/>
          <w:sz w:val="24"/>
          <w:szCs w:val="24"/>
        </w:rPr>
      </w:pPr>
    </w:p>
    <w:p w14:paraId="070088C1" w14:textId="77777777" w:rsidR="005C0D89" w:rsidRPr="00862BE9" w:rsidRDefault="005C0D89" w:rsidP="005C0D89">
      <w:pPr>
        <w:pStyle w:val="Acknowledgement"/>
        <w:spacing w:line="480" w:lineRule="auto"/>
        <w:ind w:left="0" w:firstLine="0"/>
        <w:jc w:val="both"/>
        <w:rPr>
          <w:color w:val="000000" w:themeColor="text1"/>
        </w:rPr>
      </w:pPr>
      <w:r w:rsidRPr="00862BE9">
        <w:rPr>
          <w:b/>
          <w:bCs/>
          <w:color w:val="000000" w:themeColor="text1"/>
        </w:rPr>
        <w:t xml:space="preserve">Figure S1. Cdk14 distribution in mouse organs and organ architecture of </w:t>
      </w:r>
      <w:r w:rsidRPr="00862BE9">
        <w:rPr>
          <w:b/>
          <w:bCs/>
          <w:i/>
          <w:iCs/>
          <w:color w:val="000000" w:themeColor="text1"/>
        </w:rPr>
        <w:t>Cdk14</w:t>
      </w:r>
      <w:r w:rsidRPr="00862BE9">
        <w:rPr>
          <w:b/>
          <w:bCs/>
          <w:i/>
          <w:iCs/>
          <w:color w:val="000000" w:themeColor="text1"/>
          <w:vertAlign w:val="superscript"/>
        </w:rPr>
        <w:t>-/-</w:t>
      </w:r>
      <w:r w:rsidRPr="00862BE9">
        <w:rPr>
          <w:b/>
          <w:bCs/>
          <w:color w:val="000000" w:themeColor="text1"/>
        </w:rPr>
        <w:t xml:space="preserve"> mice.</w:t>
      </w:r>
      <w:r w:rsidRPr="00862BE9">
        <w:rPr>
          <w:color w:val="000000" w:themeColor="text1"/>
        </w:rPr>
        <w:t xml:space="preserve"> (A) Micrographs from </w:t>
      </w:r>
      <w:r w:rsidRPr="00862BE9">
        <w:rPr>
          <w:i/>
          <w:iCs/>
          <w:color w:val="000000" w:themeColor="text1"/>
        </w:rPr>
        <w:t>in situ</w:t>
      </w:r>
      <w:r w:rsidRPr="00862BE9">
        <w:rPr>
          <w:color w:val="000000" w:themeColor="text1"/>
        </w:rPr>
        <w:t xml:space="preserve"> hybridization experiments (downloaded from the Allen Brain Atlas) depicting the expression of </w:t>
      </w:r>
      <w:proofErr w:type="spellStart"/>
      <w:r w:rsidRPr="00862BE9">
        <w:rPr>
          <w:i/>
          <w:iCs/>
          <w:color w:val="000000" w:themeColor="text1"/>
        </w:rPr>
        <w:t>Snca</w:t>
      </w:r>
      <w:proofErr w:type="spellEnd"/>
      <w:r w:rsidRPr="00862BE9">
        <w:rPr>
          <w:color w:val="000000" w:themeColor="text1"/>
        </w:rPr>
        <w:t xml:space="preserve"> and </w:t>
      </w:r>
      <w:r w:rsidRPr="00862BE9">
        <w:rPr>
          <w:i/>
          <w:iCs/>
          <w:color w:val="000000" w:themeColor="text1"/>
        </w:rPr>
        <w:t>Cdk14</w:t>
      </w:r>
      <w:r w:rsidRPr="00862BE9">
        <w:rPr>
          <w:color w:val="000000" w:themeColor="text1"/>
        </w:rPr>
        <w:t xml:space="preserve"> in the mouse brain. SN and Hippocampus are highlighted at 10x magnification. (B) Immunoblots showing Cdk14 protein from different organs of </w:t>
      </w:r>
      <w:r w:rsidRPr="00862BE9">
        <w:rPr>
          <w:i/>
          <w:iCs/>
          <w:color w:val="000000" w:themeColor="text1"/>
        </w:rPr>
        <w:t>Cdk14</w:t>
      </w:r>
      <w:r w:rsidRPr="00862BE9">
        <w:rPr>
          <w:i/>
          <w:iCs/>
          <w:color w:val="000000" w:themeColor="text1"/>
          <w:vertAlign w:val="superscript"/>
        </w:rPr>
        <w:t>-/-</w:t>
      </w:r>
      <w:r w:rsidRPr="00862BE9">
        <w:rPr>
          <w:color w:val="000000" w:themeColor="text1"/>
        </w:rPr>
        <w:t xml:space="preserve"> and WT mice. (C) Hematoxylin and eosin (H&amp;E) staining does not reveal obvious rearrangements of brain morphology of </w:t>
      </w:r>
      <w:r w:rsidRPr="00862BE9">
        <w:rPr>
          <w:i/>
          <w:iCs/>
          <w:color w:val="000000" w:themeColor="text1"/>
        </w:rPr>
        <w:t>Cdk1</w:t>
      </w:r>
      <w:r w:rsidRPr="00862BE9">
        <w:rPr>
          <w:i/>
          <w:iCs/>
          <w:color w:val="000000" w:themeColor="text1"/>
          <w:vertAlign w:val="superscript"/>
        </w:rPr>
        <w:t>+/-</w:t>
      </w:r>
      <w:r w:rsidRPr="00862BE9">
        <w:rPr>
          <w:color w:val="000000" w:themeColor="text1"/>
        </w:rPr>
        <w:t xml:space="preserve"> and </w:t>
      </w:r>
      <w:r w:rsidRPr="00862BE9">
        <w:rPr>
          <w:i/>
          <w:iCs/>
          <w:color w:val="000000" w:themeColor="text1"/>
        </w:rPr>
        <w:t>Cdk14</w:t>
      </w:r>
      <w:r w:rsidRPr="00862BE9">
        <w:rPr>
          <w:i/>
          <w:iCs/>
          <w:color w:val="000000" w:themeColor="text1"/>
          <w:vertAlign w:val="superscript"/>
        </w:rPr>
        <w:t>-/-</w:t>
      </w:r>
      <w:r w:rsidRPr="00862BE9">
        <w:rPr>
          <w:color w:val="000000" w:themeColor="text1"/>
        </w:rPr>
        <w:t xml:space="preserve"> mice in comparison to WT-mice (1 mm and 50 µm scale bars). (D) </w:t>
      </w:r>
      <w:proofErr w:type="spellStart"/>
      <w:r w:rsidRPr="00862BE9">
        <w:rPr>
          <w:color w:val="000000" w:themeColor="text1"/>
        </w:rPr>
        <w:t>Synapsin</w:t>
      </w:r>
      <w:proofErr w:type="spellEnd"/>
      <w:r w:rsidRPr="00862BE9">
        <w:rPr>
          <w:color w:val="000000" w:themeColor="text1"/>
        </w:rPr>
        <w:t xml:space="preserve"> and PSD95 immunofluorescence experiments in primary cortical neurons and in the hippocampus of adult mice do not display differences in synaptic integrity between WT, </w:t>
      </w:r>
      <w:r w:rsidRPr="00862BE9">
        <w:rPr>
          <w:i/>
          <w:iCs/>
          <w:color w:val="000000" w:themeColor="text1"/>
        </w:rPr>
        <w:t>Cdk1</w:t>
      </w:r>
      <w:r w:rsidRPr="00862BE9">
        <w:rPr>
          <w:i/>
          <w:iCs/>
          <w:color w:val="000000" w:themeColor="text1"/>
          <w:vertAlign w:val="superscript"/>
        </w:rPr>
        <w:t>+/-</w:t>
      </w:r>
      <w:r w:rsidRPr="00862BE9">
        <w:rPr>
          <w:color w:val="000000" w:themeColor="text1"/>
        </w:rPr>
        <w:t xml:space="preserve"> and </w:t>
      </w:r>
      <w:r w:rsidRPr="00862BE9">
        <w:rPr>
          <w:i/>
          <w:iCs/>
          <w:color w:val="000000" w:themeColor="text1"/>
        </w:rPr>
        <w:t>Cdk14</w:t>
      </w:r>
      <w:r w:rsidRPr="00862BE9">
        <w:rPr>
          <w:i/>
          <w:iCs/>
          <w:color w:val="000000" w:themeColor="text1"/>
          <w:vertAlign w:val="superscript"/>
        </w:rPr>
        <w:t>-/-</w:t>
      </w:r>
      <w:r w:rsidRPr="00862BE9">
        <w:rPr>
          <w:color w:val="000000" w:themeColor="text1"/>
        </w:rPr>
        <w:t xml:space="preserve"> mice (20 µm scale bar). Mean + SEM, one-way ANOVA, Bonferroni </w:t>
      </w:r>
      <w:r w:rsidRPr="00862BE9">
        <w:rPr>
          <w:i/>
          <w:iCs/>
          <w:color w:val="000000" w:themeColor="text1"/>
        </w:rPr>
        <w:t xml:space="preserve">post hoc </w:t>
      </w:r>
      <w:r w:rsidRPr="00862BE9">
        <w:rPr>
          <w:color w:val="000000" w:themeColor="text1"/>
        </w:rPr>
        <w:t>comparisons,</w:t>
      </w:r>
      <w:r w:rsidRPr="00862BE9">
        <w:rPr>
          <w:i/>
          <w:iCs/>
          <w:color w:val="000000" w:themeColor="text1"/>
        </w:rPr>
        <w:t xml:space="preserve"> </w:t>
      </w:r>
      <w:r w:rsidRPr="00862BE9">
        <w:rPr>
          <w:color w:val="000000" w:themeColor="text1"/>
        </w:rPr>
        <w:t>n=3-4. (E) H&amp;E-</w:t>
      </w:r>
      <w:proofErr w:type="spellStart"/>
      <w:r w:rsidRPr="00862BE9">
        <w:rPr>
          <w:color w:val="000000" w:themeColor="text1"/>
        </w:rPr>
        <w:t>stainings</w:t>
      </w:r>
      <w:proofErr w:type="spellEnd"/>
      <w:r w:rsidRPr="00862BE9">
        <w:rPr>
          <w:color w:val="000000" w:themeColor="text1"/>
        </w:rPr>
        <w:t xml:space="preserve"> of lungs and spleens of </w:t>
      </w:r>
      <w:r w:rsidRPr="00862BE9">
        <w:rPr>
          <w:i/>
          <w:iCs/>
          <w:color w:val="000000" w:themeColor="text1"/>
        </w:rPr>
        <w:t>Cdk1</w:t>
      </w:r>
      <w:r w:rsidRPr="00862BE9">
        <w:rPr>
          <w:i/>
          <w:iCs/>
          <w:color w:val="000000" w:themeColor="text1"/>
          <w:vertAlign w:val="superscript"/>
        </w:rPr>
        <w:t>+/-</w:t>
      </w:r>
      <w:r w:rsidRPr="00862BE9">
        <w:rPr>
          <w:color w:val="000000" w:themeColor="text1"/>
        </w:rPr>
        <w:t xml:space="preserve"> and </w:t>
      </w:r>
      <w:r w:rsidRPr="00862BE9">
        <w:rPr>
          <w:i/>
          <w:iCs/>
          <w:color w:val="000000" w:themeColor="text1"/>
        </w:rPr>
        <w:t>Cdk14</w:t>
      </w:r>
      <w:r w:rsidRPr="00862BE9">
        <w:rPr>
          <w:i/>
          <w:iCs/>
          <w:color w:val="000000" w:themeColor="text1"/>
          <w:vertAlign w:val="superscript"/>
        </w:rPr>
        <w:t>-/-</w:t>
      </w:r>
      <w:r w:rsidRPr="00862BE9">
        <w:rPr>
          <w:color w:val="000000" w:themeColor="text1"/>
        </w:rPr>
        <w:t xml:space="preserve"> mice do not differ from </w:t>
      </w:r>
      <w:proofErr w:type="spellStart"/>
      <w:r w:rsidRPr="00862BE9">
        <w:rPr>
          <w:color w:val="000000" w:themeColor="text1"/>
        </w:rPr>
        <w:t>stainings</w:t>
      </w:r>
      <w:proofErr w:type="spellEnd"/>
      <w:r w:rsidRPr="00862BE9">
        <w:rPr>
          <w:color w:val="000000" w:themeColor="text1"/>
        </w:rPr>
        <w:t xml:space="preserve"> of WT mice (100 µm scale bars). (F) Immunoblots showing the levels of α-Syn, Cdk14, and GAPDH in the TSS buffer-soluble protein fraction from hemibrains of 3-month-old WT, </w:t>
      </w:r>
      <w:r w:rsidRPr="00862BE9">
        <w:rPr>
          <w:i/>
          <w:iCs/>
          <w:color w:val="000000" w:themeColor="text1"/>
        </w:rPr>
        <w:t>Cdk14</w:t>
      </w:r>
      <w:r w:rsidRPr="00862BE9">
        <w:rPr>
          <w:color w:val="000000" w:themeColor="text1"/>
          <w:vertAlign w:val="superscript"/>
        </w:rPr>
        <w:t>+/-</w:t>
      </w:r>
      <w:r w:rsidRPr="00862BE9">
        <w:rPr>
          <w:color w:val="000000" w:themeColor="text1"/>
        </w:rPr>
        <w:t xml:space="preserve"> and </w:t>
      </w:r>
      <w:r w:rsidRPr="00862BE9">
        <w:rPr>
          <w:i/>
          <w:iCs/>
          <w:color w:val="000000" w:themeColor="text1"/>
        </w:rPr>
        <w:t>Cdk14</w:t>
      </w:r>
      <w:r w:rsidRPr="00862BE9">
        <w:rPr>
          <w:color w:val="000000" w:themeColor="text1"/>
          <w:vertAlign w:val="superscript"/>
        </w:rPr>
        <w:t>-/-</w:t>
      </w:r>
      <w:r w:rsidRPr="00862BE9">
        <w:rPr>
          <w:color w:val="000000" w:themeColor="text1"/>
        </w:rPr>
        <w:t xml:space="preserve"> mice. Mean + SEM, one-way ANOVA, Bonferroni </w:t>
      </w:r>
      <w:r w:rsidRPr="00862BE9">
        <w:rPr>
          <w:i/>
          <w:iCs/>
          <w:color w:val="000000" w:themeColor="text1"/>
        </w:rPr>
        <w:t xml:space="preserve">post hoc </w:t>
      </w:r>
      <w:r w:rsidRPr="00862BE9">
        <w:rPr>
          <w:color w:val="000000" w:themeColor="text1"/>
        </w:rPr>
        <w:t>comparisons, n=4-5.</w:t>
      </w:r>
    </w:p>
    <w:p w14:paraId="3A8AFC47" w14:textId="77777777" w:rsidR="005C0D89" w:rsidRPr="00862BE9" w:rsidRDefault="005C0D89" w:rsidP="005C0D89">
      <w:pPr>
        <w:pStyle w:val="Acknowledgement"/>
        <w:spacing w:line="480" w:lineRule="auto"/>
        <w:ind w:left="0" w:firstLine="0"/>
        <w:jc w:val="both"/>
        <w:rPr>
          <w:color w:val="000000" w:themeColor="text1"/>
        </w:rPr>
      </w:pPr>
    </w:p>
    <w:p w14:paraId="00FCF10F" w14:textId="77777777" w:rsidR="005C0D89" w:rsidRPr="00862BE9" w:rsidRDefault="005C0D89" w:rsidP="005C0D89">
      <w:pPr>
        <w:pStyle w:val="Acknowledgement"/>
        <w:spacing w:line="480" w:lineRule="auto"/>
        <w:ind w:left="0" w:firstLine="0"/>
        <w:jc w:val="both"/>
        <w:rPr>
          <w:color w:val="000000" w:themeColor="text1"/>
        </w:rPr>
      </w:pPr>
      <w:r w:rsidRPr="00862BE9">
        <w:rPr>
          <w:b/>
          <w:bCs/>
          <w:color w:val="000000" w:themeColor="text1"/>
        </w:rPr>
        <w:t xml:space="preserve">Figure S2. Behavioral profile and numbers of midbrain dopaminergic neurons of PFF injected </w:t>
      </w:r>
      <w:r w:rsidRPr="00862BE9">
        <w:rPr>
          <w:b/>
          <w:bCs/>
          <w:i/>
          <w:iCs/>
          <w:color w:val="000000" w:themeColor="text1"/>
        </w:rPr>
        <w:t>Cdk14</w:t>
      </w:r>
      <w:r w:rsidRPr="00862BE9">
        <w:rPr>
          <w:b/>
          <w:bCs/>
          <w:i/>
          <w:iCs/>
          <w:color w:val="000000" w:themeColor="text1"/>
          <w:vertAlign w:val="superscript"/>
        </w:rPr>
        <w:t>-/-</w:t>
      </w:r>
      <w:r w:rsidRPr="00862BE9">
        <w:rPr>
          <w:b/>
          <w:bCs/>
          <w:color w:val="000000" w:themeColor="text1"/>
        </w:rPr>
        <w:t>-mice.</w:t>
      </w:r>
      <w:r w:rsidRPr="00862BE9">
        <w:rPr>
          <w:color w:val="000000" w:themeColor="text1"/>
        </w:rPr>
        <w:t xml:space="preserve"> (A) Transmission electron micrograph (500 nm scale bar) illustrating mouse α-Syn PFFs used for </w:t>
      </w:r>
      <w:proofErr w:type="spellStart"/>
      <w:r w:rsidRPr="00862BE9">
        <w:rPr>
          <w:color w:val="000000" w:themeColor="text1"/>
        </w:rPr>
        <w:t>intrastriatal</w:t>
      </w:r>
      <w:proofErr w:type="spellEnd"/>
      <w:r w:rsidRPr="00862BE9">
        <w:rPr>
          <w:color w:val="000000" w:themeColor="text1"/>
        </w:rPr>
        <w:t xml:space="preserve"> injections and corresponding α-Syn PFF length analysis. (B) Immunofluorescence experiment depicting less pS129 α-Syn-positive neurons in primary cortical neurons from </w:t>
      </w:r>
      <w:r w:rsidRPr="00862BE9">
        <w:rPr>
          <w:i/>
          <w:iCs/>
          <w:color w:val="000000" w:themeColor="text1"/>
        </w:rPr>
        <w:t>Cdk14</w:t>
      </w:r>
      <w:r w:rsidRPr="00862BE9">
        <w:rPr>
          <w:i/>
          <w:iCs/>
          <w:color w:val="000000" w:themeColor="text1"/>
          <w:vertAlign w:val="superscript"/>
        </w:rPr>
        <w:t>-/-</w:t>
      </w:r>
      <w:r w:rsidRPr="00862BE9">
        <w:rPr>
          <w:color w:val="000000" w:themeColor="text1"/>
        </w:rPr>
        <w:t xml:space="preserve"> mice than in cultured neurons from WT-mice after PFF-treatment at 9 DIV. Mean + SEM, one-way ANOVA, Bonferroni </w:t>
      </w:r>
      <w:r w:rsidRPr="00862BE9">
        <w:rPr>
          <w:i/>
          <w:iCs/>
          <w:color w:val="000000" w:themeColor="text1"/>
        </w:rPr>
        <w:t xml:space="preserve">post hoc </w:t>
      </w:r>
      <w:r w:rsidRPr="00862BE9">
        <w:rPr>
          <w:color w:val="000000" w:themeColor="text1"/>
        </w:rPr>
        <w:t>comparisons,</w:t>
      </w:r>
      <w:r w:rsidRPr="00862BE9">
        <w:rPr>
          <w:i/>
          <w:iCs/>
          <w:color w:val="000000" w:themeColor="text1"/>
        </w:rPr>
        <w:t xml:space="preserve"> </w:t>
      </w:r>
      <w:r w:rsidRPr="00862BE9">
        <w:rPr>
          <w:color w:val="000000" w:themeColor="text1"/>
        </w:rPr>
        <w:t xml:space="preserve">n=4 (50 µm scale </w:t>
      </w:r>
      <w:r w:rsidRPr="00862BE9">
        <w:rPr>
          <w:color w:val="000000" w:themeColor="text1"/>
        </w:rPr>
        <w:lastRenderedPageBreak/>
        <w:t xml:space="preserve">bar). (C) 12-month-old </w:t>
      </w:r>
      <w:r w:rsidRPr="00862BE9">
        <w:rPr>
          <w:i/>
          <w:iCs/>
          <w:color w:val="000000" w:themeColor="text1"/>
        </w:rPr>
        <w:t>Cdk14</w:t>
      </w:r>
      <w:r w:rsidRPr="00862BE9">
        <w:rPr>
          <w:i/>
          <w:iCs/>
          <w:color w:val="000000" w:themeColor="text1"/>
          <w:vertAlign w:val="superscript"/>
        </w:rPr>
        <w:t>+/-</w:t>
      </w:r>
      <w:r w:rsidRPr="00862BE9">
        <w:rPr>
          <w:color w:val="000000" w:themeColor="text1"/>
        </w:rPr>
        <w:t xml:space="preserve"> and </w:t>
      </w:r>
      <w:r w:rsidRPr="00862BE9">
        <w:rPr>
          <w:i/>
          <w:iCs/>
          <w:color w:val="000000" w:themeColor="text1"/>
        </w:rPr>
        <w:t>Cdk14</w:t>
      </w:r>
      <w:r w:rsidRPr="00862BE9">
        <w:rPr>
          <w:i/>
          <w:iCs/>
          <w:color w:val="000000" w:themeColor="text1"/>
          <w:vertAlign w:val="superscript"/>
        </w:rPr>
        <w:t>-/-</w:t>
      </w:r>
      <w:r w:rsidRPr="00862BE9">
        <w:rPr>
          <w:color w:val="000000" w:themeColor="text1"/>
        </w:rPr>
        <w:t xml:space="preserve"> mice do not display altered behavior in the nesting, tail suspension, elevated plus maze, Y maze, open field, hanging wire, pole (Mean + SEM, two-way ANOVA, Bonferroni </w:t>
      </w:r>
      <w:r w:rsidRPr="00862BE9">
        <w:rPr>
          <w:i/>
          <w:iCs/>
          <w:color w:val="000000" w:themeColor="text1"/>
        </w:rPr>
        <w:t xml:space="preserve">post hoc </w:t>
      </w:r>
      <w:r w:rsidRPr="00862BE9">
        <w:rPr>
          <w:color w:val="000000" w:themeColor="text1"/>
        </w:rPr>
        <w:t xml:space="preserve">comparisons) and rotarod test (Mean +/- SEM, repeated measures two-way ANOVA, Bonferroni </w:t>
      </w:r>
      <w:r w:rsidRPr="00862BE9">
        <w:rPr>
          <w:i/>
          <w:iCs/>
          <w:color w:val="000000" w:themeColor="text1"/>
        </w:rPr>
        <w:t xml:space="preserve">post hoc </w:t>
      </w:r>
      <w:r w:rsidRPr="00862BE9">
        <w:rPr>
          <w:color w:val="000000" w:themeColor="text1"/>
        </w:rPr>
        <w:t xml:space="preserve">comparisons, n:9-10). PFF treatment does not result in significant changes of behavior at 6 months post injection. (D) PFF injection does not change the striatal dopamine content in the ipsilateral (IL), PFF-injected hemisphere (measured by LC-MS/MS, mean + SEM, two-way ANOVA, Bonferroni </w:t>
      </w:r>
      <w:r w:rsidRPr="00862BE9">
        <w:rPr>
          <w:i/>
          <w:iCs/>
          <w:color w:val="000000" w:themeColor="text1"/>
        </w:rPr>
        <w:t xml:space="preserve">post hoc </w:t>
      </w:r>
      <w:r w:rsidRPr="00862BE9">
        <w:rPr>
          <w:color w:val="000000" w:themeColor="text1"/>
        </w:rPr>
        <w:t xml:space="preserve">comparisons, n:2-8), but it decreases the number of TH-positive cells in the </w:t>
      </w:r>
      <w:r w:rsidRPr="00862BE9">
        <w:rPr>
          <w:i/>
          <w:iCs/>
          <w:color w:val="000000" w:themeColor="text1"/>
        </w:rPr>
        <w:t>substantia nigra pars compacta</w:t>
      </w:r>
      <w:r w:rsidRPr="00862BE9">
        <w:rPr>
          <w:color w:val="000000" w:themeColor="text1"/>
        </w:rPr>
        <w:t xml:space="preserve"> (SN) IL relative to the non-injected, contralateral hemisphere (CL) to a similar extent in WT-, </w:t>
      </w:r>
      <w:r w:rsidRPr="00862BE9">
        <w:rPr>
          <w:i/>
          <w:iCs/>
          <w:color w:val="000000" w:themeColor="text1"/>
        </w:rPr>
        <w:t>Cdk14</w:t>
      </w:r>
      <w:r w:rsidRPr="00862BE9">
        <w:rPr>
          <w:i/>
          <w:iCs/>
          <w:color w:val="000000" w:themeColor="text1"/>
          <w:vertAlign w:val="superscript"/>
        </w:rPr>
        <w:t>+/-</w:t>
      </w:r>
      <w:r w:rsidRPr="00862BE9">
        <w:rPr>
          <w:color w:val="000000" w:themeColor="text1"/>
        </w:rPr>
        <w:t xml:space="preserve">- and </w:t>
      </w:r>
      <w:r w:rsidRPr="00862BE9">
        <w:rPr>
          <w:i/>
          <w:iCs/>
          <w:color w:val="000000" w:themeColor="text1"/>
        </w:rPr>
        <w:t>Cdk14</w:t>
      </w:r>
      <w:r w:rsidRPr="00862BE9">
        <w:rPr>
          <w:i/>
          <w:iCs/>
          <w:color w:val="000000" w:themeColor="text1"/>
          <w:vertAlign w:val="superscript"/>
        </w:rPr>
        <w:t>-/-</w:t>
      </w:r>
      <w:r w:rsidRPr="00862BE9">
        <w:rPr>
          <w:color w:val="000000" w:themeColor="text1"/>
        </w:rPr>
        <w:t xml:space="preserve">- mice at -3.08 mm relative to bregma (sections counterstained with hematoxylin, 500 µm scale bar). Mean + SEM, two-way ANOVA, Bonferroni </w:t>
      </w:r>
      <w:r w:rsidRPr="00862BE9">
        <w:rPr>
          <w:i/>
          <w:iCs/>
          <w:color w:val="000000" w:themeColor="text1"/>
        </w:rPr>
        <w:t xml:space="preserve">post hoc </w:t>
      </w:r>
      <w:r w:rsidRPr="00862BE9">
        <w:rPr>
          <w:color w:val="000000" w:themeColor="text1"/>
        </w:rPr>
        <w:t xml:space="preserve">comparisons, n=3. (E) Immunoblots showing the levels of α-Syn, Cdk14, and GAPDH in the TSS buffer-soluble protein fraction from hemibrains of 3-month-old WT, </w:t>
      </w:r>
      <w:r w:rsidRPr="00862BE9">
        <w:rPr>
          <w:i/>
          <w:iCs/>
          <w:color w:val="000000" w:themeColor="text1"/>
        </w:rPr>
        <w:t>Cdk14</w:t>
      </w:r>
      <w:r w:rsidRPr="00862BE9">
        <w:rPr>
          <w:color w:val="000000" w:themeColor="text1"/>
          <w:vertAlign w:val="superscript"/>
        </w:rPr>
        <w:t>+/-</w:t>
      </w:r>
      <w:r w:rsidRPr="00862BE9">
        <w:rPr>
          <w:color w:val="000000" w:themeColor="text1"/>
        </w:rPr>
        <w:t xml:space="preserve"> and </w:t>
      </w:r>
      <w:r w:rsidRPr="00862BE9">
        <w:rPr>
          <w:i/>
          <w:iCs/>
          <w:color w:val="000000" w:themeColor="text1"/>
        </w:rPr>
        <w:t>Cdk14</w:t>
      </w:r>
      <w:r w:rsidRPr="00862BE9">
        <w:rPr>
          <w:color w:val="000000" w:themeColor="text1"/>
          <w:vertAlign w:val="superscript"/>
        </w:rPr>
        <w:t>-/-</w:t>
      </w:r>
      <w:r w:rsidRPr="00862BE9">
        <w:rPr>
          <w:color w:val="000000" w:themeColor="text1"/>
        </w:rPr>
        <w:t xml:space="preserve"> mice. Mean + SEM, one-way ANOVA, Bonferroni </w:t>
      </w:r>
      <w:r w:rsidRPr="00862BE9">
        <w:rPr>
          <w:i/>
          <w:iCs/>
          <w:color w:val="000000" w:themeColor="text1"/>
        </w:rPr>
        <w:t xml:space="preserve">post hoc </w:t>
      </w:r>
      <w:r w:rsidRPr="00862BE9">
        <w:rPr>
          <w:color w:val="000000" w:themeColor="text1"/>
        </w:rPr>
        <w:t>comparisons, n=4-5.</w:t>
      </w:r>
    </w:p>
    <w:p w14:paraId="02B887F2" w14:textId="77777777" w:rsidR="005C0D89" w:rsidRPr="00862BE9" w:rsidRDefault="005C0D89" w:rsidP="005C0D89">
      <w:pPr>
        <w:pStyle w:val="Acknowledgement"/>
        <w:spacing w:line="480" w:lineRule="auto"/>
        <w:ind w:left="0" w:firstLine="0"/>
        <w:jc w:val="both"/>
        <w:rPr>
          <w:b/>
          <w:bCs/>
          <w:color w:val="000000" w:themeColor="text1"/>
        </w:rPr>
      </w:pPr>
    </w:p>
    <w:p w14:paraId="7C440AEE" w14:textId="77777777" w:rsidR="005C0D89" w:rsidRPr="00862BE9" w:rsidRDefault="005C0D89" w:rsidP="005C0D89">
      <w:pPr>
        <w:pStyle w:val="Acknowledgement"/>
        <w:spacing w:line="480" w:lineRule="auto"/>
        <w:ind w:left="0" w:firstLine="0"/>
        <w:jc w:val="both"/>
      </w:pPr>
      <w:r w:rsidRPr="00862BE9">
        <w:rPr>
          <w:b/>
          <w:bCs/>
          <w:color w:val="000000" w:themeColor="text1"/>
        </w:rPr>
        <w:t xml:space="preserve">Figure S3. Human PFFs are lost in media of primary mouse neurons within 14 days post application and FMF-04-159-2-induced reduction of CDK14 is potentially mediated by the proteasome. </w:t>
      </w:r>
      <w:r w:rsidRPr="00862BE9">
        <w:rPr>
          <w:color w:val="000000" w:themeColor="text1"/>
        </w:rPr>
        <w:t>(A)</w:t>
      </w:r>
      <w:r w:rsidRPr="00862BE9">
        <w:rPr>
          <w:b/>
          <w:bCs/>
          <w:color w:val="000000" w:themeColor="text1"/>
        </w:rPr>
        <w:t xml:space="preserve"> </w:t>
      </w:r>
      <w:r w:rsidRPr="00862BE9">
        <w:rPr>
          <w:color w:val="000000" w:themeColor="text1"/>
        </w:rPr>
        <w:t xml:space="preserve">Human α-Syn is not detectable in media of WT mouse neurons after 14 days (D14) of treatment with human (h) α-Syn PFFs. Mean + SEM, two-way ANOVA, Bonferroni </w:t>
      </w:r>
      <w:r w:rsidRPr="00862BE9">
        <w:rPr>
          <w:i/>
          <w:iCs/>
          <w:color w:val="000000" w:themeColor="text1"/>
        </w:rPr>
        <w:t xml:space="preserve">post hoc </w:t>
      </w:r>
      <w:r w:rsidRPr="00862BE9">
        <w:rPr>
          <w:color w:val="000000" w:themeColor="text1"/>
        </w:rPr>
        <w:t xml:space="preserve">comparisons, n=4. (B) HEK293T cells were transfected with empty vector (V), FLAG-tagged WT or mutant α-Syn (A30P, G51D, A53T and S129A)-coding plasmid DNA, followed by immunoprecipitation (IP) of FLAG-tagged α-Syn </w:t>
      </w:r>
      <w:r w:rsidRPr="00862BE9">
        <w:t>and visualization of CDK14 and FLAG/</w:t>
      </w:r>
      <w:r w:rsidRPr="00862BE9">
        <w:rPr>
          <w:color w:val="000000" w:themeColor="text1"/>
        </w:rPr>
        <w:t>α-Syn</w:t>
      </w:r>
      <w:r w:rsidRPr="00862BE9">
        <w:t xml:space="preserve"> by immunoblots.</w:t>
      </w:r>
      <w:r w:rsidRPr="00862BE9">
        <w:rPr>
          <w:rFonts w:ascii="Arial" w:hAnsi="Arial" w:cs="Arial"/>
          <w:sz w:val="20"/>
          <w:szCs w:val="20"/>
        </w:rPr>
        <w:t xml:space="preserve"> </w:t>
      </w:r>
      <w:r w:rsidRPr="00862BE9">
        <w:rPr>
          <w:color w:val="000000" w:themeColor="text1"/>
        </w:rPr>
        <w:t xml:space="preserve">(C) </w:t>
      </w:r>
      <w:r w:rsidRPr="00862BE9">
        <w:t xml:space="preserve">Treatment of HEK293T cells with 500 </w:t>
      </w:r>
      <w:proofErr w:type="spellStart"/>
      <w:r w:rsidRPr="00862BE9">
        <w:t>nM</w:t>
      </w:r>
      <w:proofErr w:type="spellEnd"/>
      <w:r w:rsidRPr="00862BE9">
        <w:t xml:space="preserve"> and 250 </w:t>
      </w:r>
      <w:proofErr w:type="spellStart"/>
      <w:r w:rsidRPr="00862BE9">
        <w:t>nM</w:t>
      </w:r>
      <w:proofErr w:type="spellEnd"/>
      <w:r w:rsidRPr="00862BE9">
        <w:t xml:space="preserve"> of FMF-04-159-2 </w:t>
      </w:r>
      <w:r w:rsidRPr="00862BE9">
        <w:lastRenderedPageBreak/>
        <w:t xml:space="preserve">for 18 hours reduced levels of phosphorylated (pS1460) LRP6 and total LRP6, as shown by immunoblots. One-way ANOVA, Bonferroni </w:t>
      </w:r>
      <w:r w:rsidRPr="00862BE9">
        <w:rPr>
          <w:i/>
          <w:iCs/>
        </w:rPr>
        <w:t xml:space="preserve">post hoc </w:t>
      </w:r>
      <w:r w:rsidRPr="00862BE9">
        <w:t>comparisons</w:t>
      </w:r>
      <w:r w:rsidRPr="00862BE9">
        <w:rPr>
          <w:i/>
          <w:iCs/>
        </w:rPr>
        <w:t>,</w:t>
      </w:r>
      <w:r w:rsidRPr="00862BE9">
        <w:t xml:space="preserve"> n=4.</w:t>
      </w:r>
      <w:r w:rsidRPr="00862BE9">
        <w:rPr>
          <w:color w:val="000000" w:themeColor="text1"/>
        </w:rPr>
        <w:t xml:space="preserve"> (D) </w:t>
      </w:r>
      <w:r w:rsidRPr="00862BE9">
        <w:t xml:space="preserve">For protein degradation experiments, HEK293T cells were treated with 500 </w:t>
      </w:r>
      <w:proofErr w:type="spellStart"/>
      <w:r w:rsidRPr="00862BE9">
        <w:t>nM</w:t>
      </w:r>
      <w:proofErr w:type="spellEnd"/>
      <w:r w:rsidRPr="00862BE9">
        <w:t xml:space="preserve"> FMF-04-159-2, 1 µM MG-132 and 200 </w:t>
      </w:r>
      <w:proofErr w:type="spellStart"/>
      <w:r w:rsidRPr="00862BE9">
        <w:t>nM</w:t>
      </w:r>
      <w:proofErr w:type="spellEnd"/>
      <w:r w:rsidRPr="00862BE9">
        <w:t xml:space="preserve"> Bafilomycin A1 for 18 hours. Activity of the ubiquitin proteasome system and autophagy is visualized with immunoblots by Ubiquitin and LC3B, respectively. Two-way ANOVA, Bonferroni </w:t>
      </w:r>
      <w:r w:rsidRPr="00862BE9">
        <w:rPr>
          <w:i/>
          <w:iCs/>
        </w:rPr>
        <w:t xml:space="preserve">post hoc </w:t>
      </w:r>
      <w:r w:rsidRPr="00862BE9">
        <w:t>comparisons</w:t>
      </w:r>
      <w:r w:rsidRPr="00862BE9">
        <w:rPr>
          <w:i/>
          <w:iCs/>
        </w:rPr>
        <w:t>,</w:t>
      </w:r>
      <w:r w:rsidRPr="00862BE9">
        <w:t xml:space="preserve"> n=3. </w:t>
      </w:r>
    </w:p>
    <w:p w14:paraId="596444C1" w14:textId="77777777" w:rsidR="005C0D89" w:rsidRPr="00862BE9" w:rsidRDefault="005C0D89" w:rsidP="005C0D89">
      <w:pPr>
        <w:pStyle w:val="Acknowledgement"/>
        <w:spacing w:line="480" w:lineRule="auto"/>
        <w:ind w:left="0" w:firstLine="0"/>
        <w:jc w:val="both"/>
      </w:pPr>
    </w:p>
    <w:p w14:paraId="76AE8E08" w14:textId="77777777" w:rsidR="005C0D89" w:rsidRPr="00862BE9" w:rsidRDefault="005C0D89" w:rsidP="005C0D89">
      <w:pPr>
        <w:pStyle w:val="Acknowledgement"/>
        <w:spacing w:line="480" w:lineRule="auto"/>
        <w:ind w:left="0" w:firstLine="0"/>
        <w:jc w:val="both"/>
        <w:rPr>
          <w:b/>
          <w:bCs/>
          <w:color w:val="000000" w:themeColor="text1"/>
        </w:rPr>
      </w:pPr>
      <w:r w:rsidRPr="00862BE9">
        <w:rPr>
          <w:b/>
          <w:bCs/>
          <w:color w:val="000000" w:themeColor="text1"/>
        </w:rPr>
        <w:t>Figure S4.</w:t>
      </w:r>
      <w:r w:rsidRPr="00862BE9">
        <w:t xml:space="preserve"> </w:t>
      </w:r>
      <w:r w:rsidRPr="00862BE9">
        <w:rPr>
          <w:b/>
          <w:bCs/>
          <w:i/>
          <w:iCs/>
          <w:color w:val="000000" w:themeColor="text1"/>
        </w:rPr>
        <w:t>In vivo</w:t>
      </w:r>
      <w:r w:rsidRPr="00862BE9">
        <w:rPr>
          <w:b/>
          <w:bCs/>
          <w:color w:val="000000" w:themeColor="text1"/>
        </w:rPr>
        <w:t xml:space="preserve"> administration of FMF-04-159-2 does not induce pain or alter organ morphology.</w:t>
      </w:r>
      <w:r w:rsidRPr="00862BE9">
        <w:t xml:space="preserve"> (A) </w:t>
      </w:r>
      <w:r w:rsidRPr="00862BE9">
        <w:rPr>
          <w:color w:val="000000" w:themeColor="text1"/>
        </w:rPr>
        <w:t xml:space="preserve">The development of body weight (BDW, as % relative to the day of surgery (day 0)), the activity, neurological signs for pain, the facial grimace, the coat condition and the respiration (scored from 0 to 3, 3 = maximal discomfort) of FMF-04-159-2-treated </w:t>
      </w:r>
      <w:r w:rsidRPr="00862BE9">
        <w:rPr>
          <w:i/>
          <w:iCs/>
          <w:color w:val="000000" w:themeColor="text1"/>
        </w:rPr>
        <w:t>PAC α-Syn</w:t>
      </w:r>
      <w:r w:rsidRPr="00862BE9">
        <w:rPr>
          <w:color w:val="000000" w:themeColor="text1"/>
          <w:vertAlign w:val="superscript"/>
        </w:rPr>
        <w:t>A53T</w:t>
      </w:r>
      <w:r w:rsidRPr="00862BE9">
        <w:rPr>
          <w:color w:val="000000" w:themeColor="text1"/>
        </w:rPr>
        <w:t xml:space="preserve"> </w:t>
      </w:r>
      <w:r w:rsidRPr="00862BE9">
        <w:rPr>
          <w:i/>
          <w:iCs/>
          <w:color w:val="000000" w:themeColor="text1"/>
        </w:rPr>
        <w:t>TG</w:t>
      </w:r>
      <w:r w:rsidRPr="00862BE9">
        <w:rPr>
          <w:color w:val="000000" w:themeColor="text1"/>
        </w:rPr>
        <w:t xml:space="preserve"> mice compared to their vehicle-treated counterparts were measured over a period of 25 days after the stereotactic surgery. FMF-04-159-2 was applied at 0.35 mg/kg/day for 28 days in 4-month-old </w:t>
      </w:r>
      <w:r w:rsidRPr="00862BE9">
        <w:rPr>
          <w:i/>
          <w:iCs/>
          <w:color w:val="000000" w:themeColor="text1"/>
        </w:rPr>
        <w:t>PAC α-Syn</w:t>
      </w:r>
      <w:r w:rsidRPr="00862BE9">
        <w:rPr>
          <w:color w:val="000000" w:themeColor="text1"/>
          <w:vertAlign w:val="superscript"/>
        </w:rPr>
        <w:t>A53T</w:t>
      </w:r>
      <w:r w:rsidRPr="00862BE9">
        <w:rPr>
          <w:color w:val="000000" w:themeColor="text1"/>
        </w:rPr>
        <w:t xml:space="preserve"> </w:t>
      </w:r>
      <w:r w:rsidRPr="00862BE9">
        <w:rPr>
          <w:i/>
          <w:iCs/>
          <w:color w:val="000000" w:themeColor="text1"/>
        </w:rPr>
        <w:t>TG</w:t>
      </w:r>
      <w:r w:rsidRPr="00862BE9">
        <w:rPr>
          <w:color w:val="000000" w:themeColor="text1"/>
        </w:rPr>
        <w:t xml:space="preserve"> mice. Mean +/- SEM, repeated measures two-way ANOVA, Bonferroni </w:t>
      </w:r>
      <w:r w:rsidRPr="00862BE9">
        <w:rPr>
          <w:i/>
          <w:iCs/>
          <w:color w:val="000000" w:themeColor="text1"/>
        </w:rPr>
        <w:t xml:space="preserve">post hoc </w:t>
      </w:r>
      <w:r w:rsidRPr="00862BE9">
        <w:rPr>
          <w:color w:val="000000" w:themeColor="text1"/>
        </w:rPr>
        <w:t xml:space="preserve">comparisons, n=6. (B) H&amp;E staining of the lung, </w:t>
      </w:r>
      <w:proofErr w:type="gramStart"/>
      <w:r w:rsidRPr="00862BE9">
        <w:rPr>
          <w:color w:val="000000" w:themeColor="text1"/>
        </w:rPr>
        <w:t>spleen</w:t>
      </w:r>
      <w:proofErr w:type="gramEnd"/>
      <w:r w:rsidRPr="00862BE9">
        <w:rPr>
          <w:color w:val="000000" w:themeColor="text1"/>
        </w:rPr>
        <w:t xml:space="preserve"> and liver of FMF-04-159-2-treated </w:t>
      </w:r>
      <w:r w:rsidRPr="00862BE9">
        <w:rPr>
          <w:i/>
          <w:iCs/>
          <w:color w:val="000000" w:themeColor="text1"/>
        </w:rPr>
        <w:t>PAC α-Syn</w:t>
      </w:r>
      <w:r w:rsidRPr="00862BE9">
        <w:rPr>
          <w:color w:val="000000" w:themeColor="text1"/>
          <w:vertAlign w:val="superscript"/>
        </w:rPr>
        <w:t>A53T</w:t>
      </w:r>
      <w:r w:rsidRPr="00862BE9">
        <w:rPr>
          <w:color w:val="000000" w:themeColor="text1"/>
        </w:rPr>
        <w:t xml:space="preserve"> </w:t>
      </w:r>
      <w:r w:rsidRPr="00862BE9">
        <w:rPr>
          <w:i/>
          <w:iCs/>
          <w:color w:val="000000" w:themeColor="text1"/>
        </w:rPr>
        <w:t>TG</w:t>
      </w:r>
      <w:r w:rsidRPr="00862BE9">
        <w:rPr>
          <w:color w:val="000000" w:themeColor="text1"/>
        </w:rPr>
        <w:t xml:space="preserve"> mice did not reveal alterations in organ cytoarchitecture compared to vehicle-treated mice (100 µm scale bars).   </w:t>
      </w:r>
    </w:p>
    <w:p w14:paraId="218BB4A8" w14:textId="77777777" w:rsidR="005C0D89" w:rsidRPr="00862BE9" w:rsidRDefault="005C0D89" w:rsidP="005C0D89">
      <w:pPr>
        <w:pStyle w:val="Acknowledgement"/>
        <w:spacing w:line="480" w:lineRule="auto"/>
        <w:ind w:left="0" w:firstLine="0"/>
        <w:jc w:val="both"/>
      </w:pPr>
    </w:p>
    <w:p w14:paraId="079E4C27" w14:textId="77777777" w:rsidR="005C0D89" w:rsidRPr="00862BE9" w:rsidRDefault="005C0D89" w:rsidP="005C0D89">
      <w:pPr>
        <w:pStyle w:val="Acknowledgement"/>
        <w:spacing w:line="480" w:lineRule="auto"/>
        <w:ind w:left="0" w:firstLine="0"/>
        <w:jc w:val="both"/>
        <w:rPr>
          <w:b/>
          <w:bCs/>
          <w:color w:val="000000" w:themeColor="text1"/>
        </w:rPr>
      </w:pPr>
    </w:p>
    <w:p w14:paraId="5EDC33B5" w14:textId="77777777" w:rsidR="005C0D89" w:rsidRPr="00862BE9" w:rsidRDefault="005C0D89" w:rsidP="005C0D89">
      <w:pPr>
        <w:spacing w:line="480" w:lineRule="auto"/>
        <w:jc w:val="both"/>
        <w:rPr>
          <w:b/>
          <w:bCs/>
          <w:color w:val="000000" w:themeColor="text1"/>
          <w:sz w:val="24"/>
          <w:szCs w:val="24"/>
        </w:rPr>
      </w:pPr>
    </w:p>
    <w:p w14:paraId="40B881CB" w14:textId="77777777" w:rsidR="005C0D89" w:rsidRPr="00862BE9" w:rsidRDefault="005C0D89" w:rsidP="005C0D89">
      <w:pPr>
        <w:spacing w:line="480" w:lineRule="auto"/>
        <w:jc w:val="both"/>
        <w:rPr>
          <w:color w:val="000000" w:themeColor="text1"/>
          <w:sz w:val="24"/>
          <w:szCs w:val="24"/>
        </w:rPr>
      </w:pPr>
    </w:p>
    <w:p w14:paraId="015816D3" w14:textId="77777777" w:rsidR="005C0D89" w:rsidRPr="00862BE9" w:rsidRDefault="005C0D89" w:rsidP="005C0D89">
      <w:pPr>
        <w:spacing w:line="480" w:lineRule="auto"/>
        <w:jc w:val="both"/>
        <w:rPr>
          <w:color w:val="000000" w:themeColor="text1"/>
          <w:sz w:val="24"/>
          <w:szCs w:val="24"/>
        </w:rPr>
      </w:pPr>
    </w:p>
    <w:p w14:paraId="2B705A78" w14:textId="77777777" w:rsidR="005C0D89" w:rsidRPr="00862BE9" w:rsidRDefault="005C0D89" w:rsidP="005C0D89">
      <w:pPr>
        <w:spacing w:line="480" w:lineRule="auto"/>
        <w:jc w:val="both"/>
        <w:rPr>
          <w:color w:val="000000" w:themeColor="text1"/>
          <w:sz w:val="24"/>
          <w:szCs w:val="24"/>
        </w:rPr>
      </w:pPr>
    </w:p>
    <w:p w14:paraId="104B81D1" w14:textId="77777777" w:rsidR="005C0D89" w:rsidRPr="00862BE9" w:rsidRDefault="005C0D89" w:rsidP="005C0D89">
      <w:pPr>
        <w:spacing w:line="480" w:lineRule="auto"/>
        <w:jc w:val="both"/>
        <w:rPr>
          <w:b/>
          <w:bCs/>
          <w:color w:val="000000" w:themeColor="text1"/>
          <w:sz w:val="24"/>
          <w:szCs w:val="24"/>
        </w:rPr>
      </w:pPr>
      <w:r w:rsidRPr="00862BE9">
        <w:rPr>
          <w:b/>
          <w:bCs/>
          <w:color w:val="000000" w:themeColor="text1"/>
          <w:sz w:val="24"/>
          <w:szCs w:val="24"/>
        </w:rPr>
        <w:br w:type="column"/>
      </w:r>
      <w:r w:rsidRPr="00862BE9">
        <w:rPr>
          <w:b/>
          <w:bCs/>
          <w:color w:val="000000" w:themeColor="text1"/>
          <w:sz w:val="24"/>
          <w:szCs w:val="24"/>
        </w:rPr>
        <w:lastRenderedPageBreak/>
        <w:t>Fig. S1</w:t>
      </w:r>
    </w:p>
    <w:p w14:paraId="3BBFF433" w14:textId="77777777" w:rsidR="005C0D89" w:rsidRPr="00862BE9" w:rsidRDefault="005C0D89" w:rsidP="005C0D89">
      <w:pPr>
        <w:spacing w:line="480" w:lineRule="auto"/>
        <w:jc w:val="both"/>
        <w:rPr>
          <w:b/>
          <w:bCs/>
          <w:color w:val="000000" w:themeColor="text1"/>
          <w:sz w:val="24"/>
          <w:szCs w:val="24"/>
        </w:rPr>
      </w:pPr>
      <w:r w:rsidRPr="00862BE9">
        <w:rPr>
          <w:noProof/>
          <w:color w:val="000000" w:themeColor="text1"/>
        </w:rPr>
        <w:drawing>
          <wp:inline distT="0" distB="0" distL="0" distR="0" wp14:anchorId="501784AC" wp14:editId="3149978C">
            <wp:extent cx="4819474" cy="7833815"/>
            <wp:effectExtent l="0" t="0" r="635" b="0"/>
            <wp:docPr id="13" name="Picture 1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Diagram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75"/>
                    <a:stretch/>
                  </pic:blipFill>
                  <pic:spPr bwMode="auto">
                    <a:xfrm>
                      <a:off x="0" y="0"/>
                      <a:ext cx="4832862" cy="7855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62BE9">
        <w:rPr>
          <w:b/>
          <w:bCs/>
          <w:color w:val="000000" w:themeColor="text1"/>
          <w:sz w:val="24"/>
          <w:szCs w:val="24"/>
        </w:rPr>
        <w:br w:type="column"/>
      </w:r>
      <w:r w:rsidRPr="00862BE9">
        <w:rPr>
          <w:b/>
          <w:bCs/>
          <w:color w:val="000000" w:themeColor="text1"/>
          <w:sz w:val="24"/>
          <w:szCs w:val="24"/>
        </w:rPr>
        <w:lastRenderedPageBreak/>
        <w:t>Fig. S2</w:t>
      </w:r>
    </w:p>
    <w:p w14:paraId="4E080C60" w14:textId="77777777" w:rsidR="005C0D89" w:rsidRPr="00862BE9" w:rsidRDefault="005C0D89" w:rsidP="005C0D89">
      <w:pPr>
        <w:spacing w:line="480" w:lineRule="auto"/>
        <w:jc w:val="both"/>
        <w:rPr>
          <w:b/>
          <w:bCs/>
          <w:color w:val="000000" w:themeColor="text1"/>
          <w:sz w:val="24"/>
          <w:szCs w:val="24"/>
        </w:rPr>
      </w:pPr>
      <w:r w:rsidRPr="00862BE9">
        <w:rPr>
          <w:noProof/>
          <w:color w:val="000000" w:themeColor="text1"/>
        </w:rPr>
        <w:drawing>
          <wp:inline distT="0" distB="0" distL="0" distR="0" wp14:anchorId="6F47A043" wp14:editId="29DC1258">
            <wp:extent cx="5067980" cy="7790213"/>
            <wp:effectExtent l="0" t="0" r="0" b="1270"/>
            <wp:docPr id="478077619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077619" name="Picture 1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18"/>
                    <a:stretch/>
                  </pic:blipFill>
                  <pic:spPr bwMode="auto">
                    <a:xfrm>
                      <a:off x="0" y="0"/>
                      <a:ext cx="5079527" cy="7807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CF97D1" w14:textId="77777777" w:rsidR="005C0D89" w:rsidRPr="00862BE9" w:rsidRDefault="005C0D89" w:rsidP="005C0D89">
      <w:pPr>
        <w:spacing w:line="480" w:lineRule="auto"/>
        <w:jc w:val="both"/>
        <w:rPr>
          <w:b/>
          <w:bCs/>
          <w:color w:val="000000" w:themeColor="text1"/>
          <w:sz w:val="24"/>
          <w:szCs w:val="24"/>
        </w:rPr>
      </w:pPr>
      <w:r w:rsidRPr="00862BE9">
        <w:rPr>
          <w:b/>
          <w:bCs/>
          <w:color w:val="000000" w:themeColor="text1"/>
          <w:sz w:val="24"/>
          <w:szCs w:val="24"/>
        </w:rPr>
        <w:lastRenderedPageBreak/>
        <w:t>Fig. S3</w:t>
      </w:r>
    </w:p>
    <w:p w14:paraId="27FFF7B5" w14:textId="77777777" w:rsidR="005C0D89" w:rsidRPr="00862BE9" w:rsidRDefault="005C0D89" w:rsidP="005C0D89">
      <w:pPr>
        <w:spacing w:line="480" w:lineRule="auto"/>
        <w:jc w:val="both"/>
        <w:rPr>
          <w:noProof/>
        </w:rPr>
      </w:pPr>
      <w:r w:rsidRPr="00862BE9">
        <w:rPr>
          <w:noProof/>
        </w:rPr>
        <w:drawing>
          <wp:inline distT="0" distB="0" distL="0" distR="0" wp14:anchorId="7AB871F0" wp14:editId="10F7F854">
            <wp:extent cx="5222334" cy="7872730"/>
            <wp:effectExtent l="0" t="0" r="0" b="0"/>
            <wp:docPr id="493131454" name="Picture 3" descr="A close-up of a test resul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131454" name="Picture 3" descr="A close-up of a test result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665"/>
                    <a:stretch/>
                  </pic:blipFill>
                  <pic:spPr bwMode="auto">
                    <a:xfrm>
                      <a:off x="0" y="0"/>
                      <a:ext cx="5225002" cy="7876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CE98DF" w14:textId="77777777" w:rsidR="005C0D89" w:rsidRPr="00862BE9" w:rsidRDefault="005C0D89" w:rsidP="005C0D89">
      <w:pPr>
        <w:spacing w:line="480" w:lineRule="auto"/>
        <w:jc w:val="both"/>
        <w:rPr>
          <w:b/>
          <w:bCs/>
          <w:color w:val="000000" w:themeColor="text1"/>
          <w:sz w:val="24"/>
          <w:szCs w:val="24"/>
        </w:rPr>
      </w:pPr>
      <w:r w:rsidRPr="00862BE9">
        <w:rPr>
          <w:b/>
          <w:bCs/>
          <w:color w:val="000000" w:themeColor="text1"/>
          <w:sz w:val="24"/>
          <w:szCs w:val="24"/>
        </w:rPr>
        <w:lastRenderedPageBreak/>
        <w:t>Fig. S4</w:t>
      </w:r>
    </w:p>
    <w:p w14:paraId="0DCB6CBF" w14:textId="77777777" w:rsidR="005C0D89" w:rsidRPr="00CA566C" w:rsidRDefault="005C0D89" w:rsidP="005C0D89">
      <w:pPr>
        <w:spacing w:line="480" w:lineRule="auto"/>
        <w:jc w:val="both"/>
        <w:rPr>
          <w:b/>
          <w:bCs/>
          <w:color w:val="000000" w:themeColor="text1"/>
          <w:sz w:val="24"/>
          <w:szCs w:val="24"/>
        </w:rPr>
      </w:pPr>
      <w:r w:rsidRPr="00862BE9">
        <w:rPr>
          <w:noProof/>
        </w:rPr>
        <w:drawing>
          <wp:inline distT="0" distB="0" distL="0" distR="0" wp14:anchorId="13FE76D3" wp14:editId="24213AFF">
            <wp:extent cx="5805982" cy="5913912"/>
            <wp:effectExtent l="0" t="0" r="4445" b="0"/>
            <wp:docPr id="1119510279" name="Picture 2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510279" name="Picture 2" descr="A close-up of a graph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395"/>
                    <a:stretch/>
                  </pic:blipFill>
                  <pic:spPr bwMode="auto">
                    <a:xfrm>
                      <a:off x="0" y="0"/>
                      <a:ext cx="5813935" cy="5922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E4C699" w14:textId="77777777" w:rsidR="00000000" w:rsidRDefault="00000000"/>
    <w:sectPr w:rsidR="00221EF0" w:rsidSect="00F43751">
      <w:footerReference w:type="default" r:id="rId8"/>
      <w:headerReference w:type="first" r:id="rId9"/>
      <w:pgSz w:w="12240" w:h="15840"/>
      <w:pgMar w:top="1440" w:right="1440" w:bottom="1440" w:left="1440" w:header="432" w:footer="720" w:gutter="0"/>
      <w:lnNumType w:countBy="1" w:restart="continuous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2953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E100E9" w14:textId="77777777" w:rsidR="00000000" w:rsidRDefault="00000000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ECADEE" w14:textId="77777777" w:rsidR="00000000" w:rsidRDefault="000000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3DD24" w14:textId="77777777" w:rsidR="00000000" w:rsidRDefault="00000000" w:rsidP="004A10BE">
    <w:pPr>
      <w:pStyle w:val="Header"/>
    </w:pPr>
  </w:p>
  <w:p w14:paraId="48C7A4FD" w14:textId="77777777" w:rsidR="00000000" w:rsidRPr="00204015" w:rsidRDefault="00000000" w:rsidP="004A10BE">
    <w:pPr>
      <w:pStyle w:val="Header"/>
    </w:pPr>
    <w:r>
      <w:tab/>
    </w:r>
  </w:p>
  <w:p w14:paraId="2E1161DE" w14:textId="77777777" w:rsidR="00000000" w:rsidRDefault="00000000" w:rsidP="004A10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D89"/>
    <w:rsid w:val="00246BAA"/>
    <w:rsid w:val="005C0D89"/>
    <w:rsid w:val="00B33730"/>
    <w:rsid w:val="00ED20E0"/>
    <w:rsid w:val="00EE1EEF"/>
    <w:rsid w:val="00F43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0A945D"/>
  <w15:chartTrackingRefBased/>
  <w15:docId w15:val="{28B8D24F-DC18-6642-BB35-92F3B6461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0D89"/>
    <w:rPr>
      <w:rFonts w:ascii="Times New Roman" w:eastAsia="Calibri" w:hAnsi="Times New Roman" w:cs="Times New Roman"/>
      <w:kern w:val="0"/>
      <w:sz w:val="20"/>
      <w:szCs w:val="2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knowledgement">
    <w:name w:val="Acknowledgement"/>
    <w:basedOn w:val="Normal"/>
    <w:rsid w:val="005C0D89"/>
    <w:pPr>
      <w:spacing w:before="120"/>
      <w:ind w:left="720" w:hanging="720"/>
    </w:pPr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5C0D8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C0D89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Header">
    <w:name w:val="header"/>
    <w:basedOn w:val="Normal"/>
    <w:link w:val="HeaderChar"/>
    <w:rsid w:val="005C0D8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rsid w:val="005C0D89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5C0D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767</Words>
  <Characters>4373</Characters>
  <Application>Microsoft Office Word</Application>
  <DocSecurity>0</DocSecurity>
  <Lines>36</Lines>
  <Paragraphs>10</Paragraphs>
  <ScaleCrop>false</ScaleCrop>
  <Company/>
  <LinksUpToDate>false</LinksUpToDate>
  <CharactersWithSpaces>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Maxime Rousseaux</dc:creator>
  <cp:keywords/>
  <dc:description/>
  <cp:lastModifiedBy>Maxime Rousseaux</cp:lastModifiedBy>
  <cp:revision>1</cp:revision>
  <dcterms:created xsi:type="dcterms:W3CDTF">2024-02-02T01:41:00Z</dcterms:created>
  <dcterms:modified xsi:type="dcterms:W3CDTF">2024-02-02T01:41:00Z</dcterms:modified>
</cp:coreProperties>
</file>