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84FC4" w14:textId="77777777" w:rsidR="008C7307" w:rsidRPr="00E10AC0" w:rsidRDefault="008C7307" w:rsidP="008C7307">
      <w:pPr>
        <w:autoSpaceDE w:val="0"/>
        <w:autoSpaceDN w:val="0"/>
        <w:adjustRightInd w:val="0"/>
        <w:spacing w:line="360" w:lineRule="auto"/>
        <w:rPr>
          <w:rFonts w:ascii="Times New Roman" w:hAnsi="Times New Roman" w:cs="Times New Roman"/>
          <w:b/>
          <w:bCs/>
          <w:kern w:val="0"/>
          <w:sz w:val="28"/>
          <w:szCs w:val="28"/>
        </w:rPr>
      </w:pPr>
      <w:r w:rsidRPr="00E10AC0">
        <w:rPr>
          <w:rFonts w:ascii="Times New Roman" w:hAnsi="Times New Roman" w:cs="Times New Roman"/>
          <w:b/>
          <w:bCs/>
          <w:kern w:val="0"/>
          <w:sz w:val="28"/>
          <w:szCs w:val="28"/>
        </w:rPr>
        <w:t>Supplementary Figure 1. UMAP plot of all cells showing different clusters.</w:t>
      </w:r>
    </w:p>
    <w:p w14:paraId="1678E155" w14:textId="77777777" w:rsidR="008C7307" w:rsidRPr="00E10AC0" w:rsidRDefault="008C7307" w:rsidP="008C7307">
      <w:pPr>
        <w:autoSpaceDE w:val="0"/>
        <w:autoSpaceDN w:val="0"/>
        <w:adjustRightInd w:val="0"/>
        <w:spacing w:line="360" w:lineRule="auto"/>
        <w:rPr>
          <w:rFonts w:ascii="Times New Roman" w:hAnsi="Times New Roman" w:cs="Times New Roman"/>
          <w:b/>
          <w:bCs/>
          <w:kern w:val="0"/>
          <w:sz w:val="28"/>
          <w:szCs w:val="28"/>
        </w:rPr>
      </w:pPr>
    </w:p>
    <w:p w14:paraId="3669262A" w14:textId="77777777" w:rsidR="008C7307" w:rsidRPr="00E10AC0" w:rsidRDefault="008C7307" w:rsidP="008C7307">
      <w:pPr>
        <w:autoSpaceDE w:val="0"/>
        <w:autoSpaceDN w:val="0"/>
        <w:adjustRightInd w:val="0"/>
        <w:spacing w:line="360" w:lineRule="auto"/>
        <w:rPr>
          <w:rFonts w:ascii="Times New Roman" w:hAnsi="Times New Roman" w:cs="Times New Roman"/>
          <w:kern w:val="0"/>
          <w:sz w:val="28"/>
          <w:szCs w:val="28"/>
        </w:rPr>
      </w:pPr>
      <w:r w:rsidRPr="00E10AC0">
        <w:rPr>
          <w:rFonts w:ascii="Times New Roman" w:hAnsi="Times New Roman" w:cs="Times New Roman"/>
          <w:b/>
          <w:bCs/>
          <w:kern w:val="0"/>
          <w:sz w:val="28"/>
          <w:szCs w:val="28"/>
        </w:rPr>
        <w:t>Supplementary Figure 2. The hierarchical heatmap showing large-scale CNVs in fibroblast cells and smooth muscle cells form each sample.</w:t>
      </w:r>
      <w:r w:rsidRPr="00E10AC0">
        <w:rPr>
          <w:rFonts w:ascii="Times New Roman" w:hAnsi="Times New Roman" w:cs="Times New Roman"/>
          <w:kern w:val="0"/>
          <w:sz w:val="28"/>
          <w:szCs w:val="28"/>
        </w:rPr>
        <w:t xml:space="preserve"> The branches are delineated according to the percentage of cells in the subclone containing the corresponding CNVs. The canonical CNV events in each lesion were labeled in the clonality tree. The subclones in red background indicated the shared subclone between two samples from the same patient. </w:t>
      </w:r>
    </w:p>
    <w:p w14:paraId="7AE9DA24" w14:textId="77777777" w:rsidR="008C7307" w:rsidRPr="00E10AC0" w:rsidRDefault="008C7307" w:rsidP="008C7307">
      <w:pPr>
        <w:rPr>
          <w:rFonts w:ascii="Times New Roman" w:hAnsi="Times New Roman" w:cs="Times New Roman"/>
          <w:kern w:val="0"/>
          <w:sz w:val="28"/>
          <w:szCs w:val="28"/>
        </w:rPr>
      </w:pPr>
    </w:p>
    <w:p w14:paraId="7862A2D1" w14:textId="77777777" w:rsidR="008C7307" w:rsidRPr="00E10AC0" w:rsidRDefault="008C7307" w:rsidP="008C7307">
      <w:pPr>
        <w:autoSpaceDE w:val="0"/>
        <w:autoSpaceDN w:val="0"/>
        <w:adjustRightInd w:val="0"/>
        <w:spacing w:line="360" w:lineRule="auto"/>
        <w:rPr>
          <w:rFonts w:ascii="Times New Roman" w:hAnsi="Times New Roman" w:cs="Times New Roman"/>
          <w:b/>
          <w:bCs/>
          <w:kern w:val="0"/>
          <w:sz w:val="28"/>
          <w:szCs w:val="28"/>
        </w:rPr>
      </w:pPr>
      <w:r w:rsidRPr="00E10AC0">
        <w:rPr>
          <w:rFonts w:ascii="Times New Roman" w:hAnsi="Times New Roman" w:cs="Times New Roman"/>
          <w:b/>
          <w:bCs/>
          <w:kern w:val="0"/>
          <w:sz w:val="28"/>
          <w:szCs w:val="28"/>
        </w:rPr>
        <w:t xml:space="preserve">Supplementary Figure 3. Identification of the malignance of smooth muscle cells by </w:t>
      </w:r>
      <w:proofErr w:type="spellStart"/>
      <w:r w:rsidRPr="00E10AC0">
        <w:rPr>
          <w:rFonts w:ascii="Times New Roman" w:hAnsi="Times New Roman" w:cs="Times New Roman"/>
          <w:b/>
          <w:bCs/>
          <w:kern w:val="0"/>
          <w:sz w:val="28"/>
          <w:szCs w:val="28"/>
        </w:rPr>
        <w:t>copyKAT</w:t>
      </w:r>
      <w:proofErr w:type="spellEnd"/>
      <w:r w:rsidRPr="00E10AC0">
        <w:rPr>
          <w:rFonts w:ascii="Times New Roman" w:hAnsi="Times New Roman" w:cs="Times New Roman"/>
          <w:b/>
          <w:bCs/>
          <w:kern w:val="0"/>
          <w:sz w:val="28"/>
          <w:szCs w:val="28"/>
        </w:rPr>
        <w:t xml:space="preserve"> algorithm.</w:t>
      </w:r>
    </w:p>
    <w:p w14:paraId="7B0D22FC" w14:textId="77777777" w:rsidR="008C7307" w:rsidRPr="00E10AC0" w:rsidRDefault="008C7307" w:rsidP="008C7307">
      <w:pPr>
        <w:autoSpaceDE w:val="0"/>
        <w:autoSpaceDN w:val="0"/>
        <w:adjustRightInd w:val="0"/>
        <w:spacing w:line="360" w:lineRule="auto"/>
        <w:rPr>
          <w:rFonts w:ascii="Times New Roman" w:hAnsi="Times New Roman" w:cs="Times New Roman"/>
          <w:b/>
          <w:bCs/>
          <w:kern w:val="0"/>
          <w:sz w:val="28"/>
          <w:szCs w:val="28"/>
        </w:rPr>
      </w:pPr>
    </w:p>
    <w:p w14:paraId="42040F83" w14:textId="77777777" w:rsidR="008C7307" w:rsidRPr="00E10AC0" w:rsidRDefault="008C7307" w:rsidP="008C7307">
      <w:pPr>
        <w:autoSpaceDE w:val="0"/>
        <w:autoSpaceDN w:val="0"/>
        <w:adjustRightInd w:val="0"/>
        <w:spacing w:line="360" w:lineRule="auto"/>
        <w:rPr>
          <w:rFonts w:ascii="Times New Roman" w:hAnsi="Times New Roman" w:cs="Times New Roman"/>
          <w:b/>
          <w:bCs/>
          <w:kern w:val="0"/>
          <w:sz w:val="28"/>
          <w:szCs w:val="28"/>
        </w:rPr>
      </w:pPr>
      <w:r w:rsidRPr="00E10AC0">
        <w:rPr>
          <w:rFonts w:ascii="Times New Roman" w:hAnsi="Times New Roman" w:cs="Times New Roman"/>
          <w:b/>
          <w:bCs/>
          <w:kern w:val="0"/>
          <w:sz w:val="28"/>
          <w:szCs w:val="28"/>
        </w:rPr>
        <w:t xml:space="preserve">Supplementary Figure 4.  Distinct clusters of malignant cells in GIST. </w:t>
      </w:r>
    </w:p>
    <w:p w14:paraId="30D3F912" w14:textId="77777777" w:rsidR="008C7307" w:rsidRPr="00E10AC0" w:rsidRDefault="008C7307" w:rsidP="008C7307">
      <w:pPr>
        <w:autoSpaceDE w:val="0"/>
        <w:autoSpaceDN w:val="0"/>
        <w:adjustRightInd w:val="0"/>
        <w:spacing w:line="360" w:lineRule="auto"/>
        <w:rPr>
          <w:rFonts w:ascii="Times New Roman" w:hAnsi="Times New Roman" w:cs="Times New Roman"/>
          <w:kern w:val="0"/>
          <w:sz w:val="28"/>
          <w:szCs w:val="28"/>
        </w:rPr>
      </w:pPr>
      <w:r w:rsidRPr="00E10AC0">
        <w:rPr>
          <w:rFonts w:ascii="Times New Roman" w:hAnsi="Times New Roman" w:cs="Times New Roman"/>
          <w:kern w:val="0"/>
          <w:sz w:val="28"/>
          <w:szCs w:val="28"/>
        </w:rPr>
        <w:t xml:space="preserve">(a) 15 </w:t>
      </w:r>
      <w:r w:rsidRPr="00E10AC0">
        <w:rPr>
          <w:rFonts w:ascii="Times New Roman" w:hAnsi="Times New Roman" w:cs="Times New Roman" w:hint="eastAsia"/>
          <w:kern w:val="0"/>
          <w:sz w:val="28"/>
          <w:szCs w:val="28"/>
        </w:rPr>
        <w:t>subclusters</w:t>
      </w:r>
      <w:r w:rsidRPr="00E10AC0">
        <w:rPr>
          <w:rFonts w:ascii="Times New Roman" w:hAnsi="Times New Roman" w:cs="Times New Roman"/>
          <w:kern w:val="0"/>
          <w:sz w:val="28"/>
          <w:szCs w:val="28"/>
        </w:rPr>
        <w:t xml:space="preserve"> of fibroblast cells were identified by UMAP analysis. </w:t>
      </w:r>
    </w:p>
    <w:p w14:paraId="4F06F145" w14:textId="77777777" w:rsidR="008C7307" w:rsidRPr="00E10AC0" w:rsidRDefault="008C7307" w:rsidP="008C7307">
      <w:pPr>
        <w:autoSpaceDE w:val="0"/>
        <w:autoSpaceDN w:val="0"/>
        <w:adjustRightInd w:val="0"/>
        <w:spacing w:line="360" w:lineRule="auto"/>
        <w:rPr>
          <w:rFonts w:ascii="Times New Roman" w:hAnsi="Times New Roman" w:cs="Times New Roman"/>
          <w:kern w:val="0"/>
          <w:sz w:val="28"/>
          <w:szCs w:val="28"/>
        </w:rPr>
      </w:pPr>
      <w:r w:rsidRPr="00E10AC0">
        <w:rPr>
          <w:rFonts w:ascii="Times New Roman" w:hAnsi="Times New Roman" w:cs="Times New Roman"/>
          <w:kern w:val="0"/>
          <w:sz w:val="28"/>
          <w:szCs w:val="28"/>
        </w:rPr>
        <w:t xml:space="preserve">(b) Marker gene expression of each cell type. </w:t>
      </w:r>
    </w:p>
    <w:p w14:paraId="5862B3B7" w14:textId="77777777" w:rsidR="008C7307" w:rsidRPr="00E10AC0" w:rsidRDefault="008C7307" w:rsidP="008C7307">
      <w:pPr>
        <w:autoSpaceDE w:val="0"/>
        <w:autoSpaceDN w:val="0"/>
        <w:adjustRightInd w:val="0"/>
        <w:spacing w:line="360" w:lineRule="auto"/>
        <w:rPr>
          <w:rFonts w:ascii="Times New Roman" w:hAnsi="Times New Roman" w:cs="Times New Roman"/>
          <w:kern w:val="0"/>
          <w:sz w:val="28"/>
          <w:szCs w:val="28"/>
        </w:rPr>
      </w:pPr>
      <w:r w:rsidRPr="00E10AC0">
        <w:rPr>
          <w:rFonts w:ascii="Times New Roman" w:hAnsi="Times New Roman" w:cs="Times New Roman"/>
          <w:kern w:val="0"/>
          <w:sz w:val="28"/>
          <w:szCs w:val="28"/>
        </w:rPr>
        <w:t xml:space="preserve">(c) </w:t>
      </w:r>
      <w:r w:rsidRPr="00E10AC0">
        <w:rPr>
          <w:rFonts w:ascii="Times New Roman" w:hAnsi="Times New Roman" w:cs="Times New Roman" w:hint="eastAsia"/>
          <w:kern w:val="0"/>
          <w:sz w:val="28"/>
          <w:szCs w:val="28"/>
        </w:rPr>
        <w:t>Expression of CD274 (PD-L1) in each cell type.</w:t>
      </w:r>
    </w:p>
    <w:p w14:paraId="5D95508A" w14:textId="77777777" w:rsidR="008C7307" w:rsidRPr="00E10AC0" w:rsidRDefault="008C7307" w:rsidP="008C7307">
      <w:pPr>
        <w:autoSpaceDE w:val="0"/>
        <w:autoSpaceDN w:val="0"/>
        <w:adjustRightInd w:val="0"/>
        <w:spacing w:line="360" w:lineRule="auto"/>
        <w:rPr>
          <w:rFonts w:ascii="Times New Roman" w:hAnsi="Times New Roman" w:cs="Times New Roman"/>
          <w:kern w:val="0"/>
          <w:sz w:val="28"/>
          <w:szCs w:val="28"/>
        </w:rPr>
      </w:pPr>
      <w:r w:rsidRPr="00E10AC0">
        <w:rPr>
          <w:rFonts w:ascii="Times New Roman" w:hAnsi="Times New Roman" w:cs="Times New Roman"/>
          <w:kern w:val="0"/>
          <w:sz w:val="28"/>
          <w:szCs w:val="28"/>
        </w:rPr>
        <w:t xml:space="preserve">(d) The ploidy analysis of fibroblast cells by </w:t>
      </w:r>
      <w:proofErr w:type="spellStart"/>
      <w:r w:rsidRPr="00E10AC0">
        <w:rPr>
          <w:rFonts w:ascii="Times New Roman" w:hAnsi="Times New Roman" w:cs="Times New Roman"/>
          <w:kern w:val="0"/>
          <w:sz w:val="28"/>
          <w:szCs w:val="28"/>
        </w:rPr>
        <w:t>copyKAT</w:t>
      </w:r>
      <w:proofErr w:type="spellEnd"/>
      <w:r w:rsidRPr="00E10AC0">
        <w:rPr>
          <w:rFonts w:ascii="Times New Roman" w:hAnsi="Times New Roman" w:cs="Times New Roman"/>
          <w:kern w:val="0"/>
          <w:sz w:val="28"/>
          <w:szCs w:val="28"/>
        </w:rPr>
        <w:t xml:space="preserve"> algorithm.</w:t>
      </w:r>
    </w:p>
    <w:p w14:paraId="443FAEE6" w14:textId="77777777" w:rsidR="008C7307" w:rsidRPr="00E10AC0" w:rsidRDefault="008C7307" w:rsidP="008C7307">
      <w:pPr>
        <w:autoSpaceDE w:val="0"/>
        <w:autoSpaceDN w:val="0"/>
        <w:adjustRightInd w:val="0"/>
        <w:spacing w:line="360" w:lineRule="auto"/>
        <w:rPr>
          <w:rFonts w:ascii="Times New Roman" w:hAnsi="Times New Roman" w:cs="Times New Roman"/>
          <w:kern w:val="0"/>
          <w:sz w:val="28"/>
          <w:szCs w:val="28"/>
        </w:rPr>
      </w:pPr>
      <w:r w:rsidRPr="00E10AC0">
        <w:rPr>
          <w:rFonts w:ascii="Times New Roman" w:hAnsi="Times New Roman" w:cs="Times New Roman"/>
          <w:b/>
          <w:bCs/>
          <w:kern w:val="0"/>
          <w:sz w:val="28"/>
          <w:szCs w:val="28"/>
        </w:rPr>
        <w:t xml:space="preserve">Supplementary Figure 5. </w:t>
      </w:r>
      <w:proofErr w:type="spellStart"/>
      <w:r w:rsidRPr="00E10AC0">
        <w:rPr>
          <w:rFonts w:ascii="Times New Roman" w:hAnsi="Times New Roman" w:cs="Times New Roman"/>
          <w:b/>
          <w:bCs/>
          <w:kern w:val="0"/>
          <w:sz w:val="28"/>
          <w:szCs w:val="28"/>
        </w:rPr>
        <w:t>Reactome</w:t>
      </w:r>
      <w:proofErr w:type="spellEnd"/>
      <w:r w:rsidRPr="00E10AC0">
        <w:rPr>
          <w:rFonts w:ascii="Times New Roman" w:hAnsi="Times New Roman" w:cs="Times New Roman"/>
          <w:b/>
          <w:bCs/>
          <w:kern w:val="0"/>
          <w:sz w:val="28"/>
          <w:szCs w:val="28"/>
        </w:rPr>
        <w:t xml:space="preserve"> enrichment analysis of DEGs in each malignant cell type between imatinib resistant and sensitive patients.</w:t>
      </w:r>
      <w:r w:rsidRPr="00E10AC0">
        <w:rPr>
          <w:rFonts w:ascii="Times New Roman" w:hAnsi="Times New Roman" w:cs="Times New Roman" w:hint="eastAsia"/>
          <w:b/>
          <w:bCs/>
          <w:kern w:val="0"/>
          <w:sz w:val="28"/>
          <w:szCs w:val="28"/>
        </w:rPr>
        <w:t xml:space="preserve"> </w:t>
      </w:r>
      <w:r w:rsidRPr="00E10AC0">
        <w:rPr>
          <w:rFonts w:ascii="Times New Roman" w:hAnsi="Times New Roman" w:cs="Times New Roman"/>
          <w:b/>
          <w:bCs/>
          <w:kern w:val="0"/>
          <w:sz w:val="28"/>
          <w:szCs w:val="28"/>
        </w:rPr>
        <w:t xml:space="preserve">a </w:t>
      </w:r>
      <w:proofErr w:type="spellStart"/>
      <w:r w:rsidRPr="00E10AC0">
        <w:rPr>
          <w:rFonts w:ascii="Times New Roman" w:hAnsi="Times New Roman" w:cs="Times New Roman"/>
          <w:kern w:val="0"/>
          <w:sz w:val="28"/>
          <w:szCs w:val="28"/>
        </w:rPr>
        <w:t>Reactome</w:t>
      </w:r>
      <w:proofErr w:type="spellEnd"/>
      <w:r w:rsidRPr="00E10AC0">
        <w:rPr>
          <w:rFonts w:ascii="Times New Roman" w:hAnsi="Times New Roman" w:cs="Times New Roman"/>
          <w:kern w:val="0"/>
          <w:sz w:val="28"/>
          <w:szCs w:val="28"/>
        </w:rPr>
        <w:t xml:space="preserve"> enrichment analysis of up-regulated DEGs between </w:t>
      </w:r>
      <w:r w:rsidRPr="00E10AC0">
        <w:rPr>
          <w:rFonts w:ascii="Times New Roman" w:hAnsi="Times New Roman" w:cs="Times New Roman"/>
          <w:kern w:val="0"/>
          <w:sz w:val="28"/>
          <w:szCs w:val="28"/>
        </w:rPr>
        <w:lastRenderedPageBreak/>
        <w:t xml:space="preserve">imatinib resistant samples and </w:t>
      </w:r>
      <w:proofErr w:type="gramStart"/>
      <w:r w:rsidRPr="00E10AC0">
        <w:rPr>
          <w:rFonts w:ascii="Times New Roman" w:hAnsi="Times New Roman" w:cs="Times New Roman"/>
          <w:kern w:val="0"/>
          <w:sz w:val="28"/>
          <w:szCs w:val="28"/>
        </w:rPr>
        <w:t>imatinib  sensitive</w:t>
      </w:r>
      <w:proofErr w:type="gramEnd"/>
      <w:r w:rsidRPr="00E10AC0">
        <w:rPr>
          <w:rFonts w:ascii="Times New Roman" w:hAnsi="Times New Roman" w:cs="Times New Roman"/>
          <w:kern w:val="0"/>
          <w:sz w:val="28"/>
          <w:szCs w:val="28"/>
        </w:rPr>
        <w:t xml:space="preserve"> samples. </w:t>
      </w:r>
      <w:r w:rsidRPr="00E10AC0">
        <w:rPr>
          <w:rFonts w:ascii="Times New Roman" w:hAnsi="Times New Roman" w:cs="Times New Roman"/>
          <w:b/>
          <w:bCs/>
          <w:kern w:val="0"/>
          <w:sz w:val="28"/>
          <w:szCs w:val="28"/>
        </w:rPr>
        <w:t>b</w:t>
      </w:r>
      <w:r w:rsidRPr="00E10AC0">
        <w:rPr>
          <w:rFonts w:ascii="Times New Roman" w:hAnsi="Times New Roman" w:cs="Times New Roman"/>
          <w:kern w:val="0"/>
          <w:sz w:val="28"/>
          <w:szCs w:val="28"/>
        </w:rPr>
        <w:t xml:space="preserve"> </w:t>
      </w:r>
      <w:proofErr w:type="spellStart"/>
      <w:r w:rsidRPr="00E10AC0">
        <w:rPr>
          <w:rFonts w:ascii="Times New Roman" w:hAnsi="Times New Roman" w:cs="Times New Roman"/>
          <w:kern w:val="0"/>
          <w:sz w:val="28"/>
          <w:szCs w:val="28"/>
        </w:rPr>
        <w:t>Reactome</w:t>
      </w:r>
      <w:proofErr w:type="spellEnd"/>
      <w:r w:rsidRPr="00E10AC0">
        <w:rPr>
          <w:rFonts w:ascii="Times New Roman" w:hAnsi="Times New Roman" w:cs="Times New Roman"/>
          <w:kern w:val="0"/>
          <w:sz w:val="28"/>
          <w:szCs w:val="28"/>
        </w:rPr>
        <w:t xml:space="preserve"> enrichment analysis of down-regulated DEGs. The color in each dot showed the p-value of each pathway. </w:t>
      </w:r>
      <w:r w:rsidRPr="00E10AC0">
        <w:rPr>
          <w:rFonts w:ascii="Times New Roman" w:hAnsi="Times New Roman" w:cs="Times New Roman" w:hint="eastAsia"/>
          <w:kern w:val="0"/>
          <w:sz w:val="28"/>
          <w:szCs w:val="28"/>
        </w:rPr>
        <w:t>The</w:t>
      </w:r>
      <w:r w:rsidRPr="00E10AC0">
        <w:rPr>
          <w:rFonts w:ascii="Times New Roman" w:hAnsi="Times New Roman" w:cs="Times New Roman"/>
          <w:kern w:val="0"/>
          <w:sz w:val="28"/>
          <w:szCs w:val="28"/>
        </w:rPr>
        <w:t xml:space="preserve"> size for each dot showed the enriched gene number in each pathway. The number in each dot showed the number for each pathway corresponding to Supplementary Data 3.</w:t>
      </w:r>
    </w:p>
    <w:p w14:paraId="5A25958E" w14:textId="77777777" w:rsidR="008C7307" w:rsidRPr="00E10AC0" w:rsidRDefault="008C7307" w:rsidP="008C7307">
      <w:pPr>
        <w:autoSpaceDE w:val="0"/>
        <w:autoSpaceDN w:val="0"/>
        <w:adjustRightInd w:val="0"/>
        <w:spacing w:line="360" w:lineRule="auto"/>
        <w:rPr>
          <w:rFonts w:ascii="Times New Roman" w:hAnsi="Times New Roman" w:cs="Times New Roman"/>
          <w:kern w:val="0"/>
          <w:sz w:val="28"/>
          <w:szCs w:val="28"/>
        </w:rPr>
      </w:pPr>
    </w:p>
    <w:p w14:paraId="6EE746EB" w14:textId="77777777" w:rsidR="008C7307" w:rsidRPr="00E10AC0" w:rsidRDefault="008C7307" w:rsidP="008C7307">
      <w:pPr>
        <w:autoSpaceDE w:val="0"/>
        <w:autoSpaceDN w:val="0"/>
        <w:adjustRightInd w:val="0"/>
        <w:spacing w:line="360" w:lineRule="auto"/>
        <w:rPr>
          <w:rFonts w:ascii="Times New Roman" w:hAnsi="Times New Roman" w:cs="Times New Roman"/>
          <w:kern w:val="0"/>
          <w:sz w:val="28"/>
          <w:szCs w:val="28"/>
        </w:rPr>
      </w:pPr>
      <w:r w:rsidRPr="00E10AC0">
        <w:rPr>
          <w:rFonts w:ascii="Times New Roman" w:hAnsi="Times New Roman" w:cs="Times New Roman"/>
          <w:b/>
          <w:bCs/>
          <w:kern w:val="0"/>
          <w:sz w:val="28"/>
          <w:szCs w:val="28"/>
        </w:rPr>
        <w:t xml:space="preserve">Supplementary Figure 6. </w:t>
      </w:r>
      <w:r w:rsidRPr="00E10AC0">
        <w:rPr>
          <w:rFonts w:ascii="Times New Roman" w:hAnsi="Times New Roman" w:cs="Times New Roman" w:hint="eastAsia"/>
          <w:b/>
          <w:bCs/>
          <w:kern w:val="0"/>
          <w:sz w:val="28"/>
          <w:szCs w:val="28"/>
        </w:rPr>
        <w:t>The</w:t>
      </w:r>
      <w:r w:rsidRPr="00E10AC0">
        <w:rPr>
          <w:rFonts w:ascii="Times New Roman" w:hAnsi="Times New Roman" w:cs="Times New Roman"/>
          <w:b/>
          <w:bCs/>
          <w:kern w:val="0"/>
          <w:sz w:val="28"/>
          <w:szCs w:val="28"/>
        </w:rPr>
        <w:t xml:space="preserve"> </w:t>
      </w:r>
      <w:r w:rsidRPr="00E10AC0">
        <w:rPr>
          <w:rFonts w:ascii="Times New Roman" w:hAnsi="Times New Roman" w:cs="Times New Roman" w:hint="eastAsia"/>
          <w:b/>
          <w:bCs/>
          <w:kern w:val="0"/>
          <w:sz w:val="28"/>
          <w:szCs w:val="28"/>
        </w:rPr>
        <w:t>transcriptional</w:t>
      </w:r>
      <w:r w:rsidRPr="00E10AC0">
        <w:rPr>
          <w:rFonts w:ascii="Times New Roman" w:hAnsi="Times New Roman" w:cs="Times New Roman"/>
          <w:b/>
          <w:bCs/>
          <w:kern w:val="0"/>
          <w:sz w:val="28"/>
          <w:szCs w:val="28"/>
        </w:rPr>
        <w:t xml:space="preserve"> heterogeneity of T cells. </w:t>
      </w:r>
      <w:r w:rsidRPr="00E10AC0">
        <w:rPr>
          <w:rFonts w:ascii="Times New Roman" w:hAnsi="Times New Roman" w:cs="Times New Roman"/>
          <w:kern w:val="0"/>
          <w:sz w:val="28"/>
          <w:szCs w:val="28"/>
        </w:rPr>
        <w:t xml:space="preserve">(a) Comparison of cell count proportion of each </w:t>
      </w:r>
      <w:r w:rsidRPr="00E10AC0">
        <w:rPr>
          <w:rFonts w:ascii="Times New Roman" w:hAnsi="Times New Roman" w:cs="Times New Roman" w:hint="eastAsia"/>
          <w:kern w:val="0"/>
          <w:sz w:val="28"/>
          <w:szCs w:val="28"/>
        </w:rPr>
        <w:t>cell</w:t>
      </w:r>
      <w:r w:rsidRPr="00E10AC0">
        <w:rPr>
          <w:rFonts w:ascii="Times New Roman" w:hAnsi="Times New Roman" w:cs="Times New Roman"/>
          <w:kern w:val="0"/>
          <w:sz w:val="28"/>
          <w:szCs w:val="28"/>
        </w:rPr>
        <w:t xml:space="preserve"> type between primary and metastatic patients.</w:t>
      </w:r>
    </w:p>
    <w:p w14:paraId="39989983" w14:textId="77777777" w:rsidR="008C7307" w:rsidRPr="00E10AC0" w:rsidRDefault="008C7307" w:rsidP="008C7307">
      <w:pPr>
        <w:autoSpaceDE w:val="0"/>
        <w:autoSpaceDN w:val="0"/>
        <w:adjustRightInd w:val="0"/>
        <w:spacing w:line="360" w:lineRule="auto"/>
        <w:rPr>
          <w:rFonts w:ascii="Times New Roman" w:hAnsi="Times New Roman" w:cs="Times New Roman"/>
          <w:kern w:val="0"/>
          <w:sz w:val="28"/>
          <w:szCs w:val="28"/>
        </w:rPr>
      </w:pPr>
      <w:r w:rsidRPr="00E10AC0">
        <w:rPr>
          <w:rFonts w:ascii="Times New Roman" w:hAnsi="Times New Roman" w:cs="Times New Roman"/>
          <w:kern w:val="0"/>
          <w:sz w:val="28"/>
          <w:szCs w:val="28"/>
        </w:rPr>
        <w:t>(b) IHC analysis of FOXP3 on GIST samples.</w:t>
      </w:r>
    </w:p>
    <w:p w14:paraId="2E45FF0C" w14:textId="77777777" w:rsidR="008C7307" w:rsidRPr="00E10AC0" w:rsidRDefault="008C7307" w:rsidP="008C7307">
      <w:pPr>
        <w:autoSpaceDE w:val="0"/>
        <w:autoSpaceDN w:val="0"/>
        <w:adjustRightInd w:val="0"/>
        <w:spacing w:line="360" w:lineRule="auto"/>
        <w:rPr>
          <w:rFonts w:ascii="Times New Roman" w:hAnsi="Times New Roman" w:cs="Times New Roman"/>
          <w:kern w:val="0"/>
          <w:sz w:val="28"/>
          <w:szCs w:val="28"/>
        </w:rPr>
      </w:pPr>
      <w:r w:rsidRPr="00E10AC0">
        <w:rPr>
          <w:rFonts w:ascii="Times New Roman" w:hAnsi="Times New Roman" w:cs="Times New Roman"/>
          <w:kern w:val="0"/>
          <w:sz w:val="28"/>
          <w:szCs w:val="28"/>
        </w:rPr>
        <w:t xml:space="preserve">(c) GO enrichment analysis of each CD4 cell type. </w:t>
      </w:r>
    </w:p>
    <w:p w14:paraId="4E563BA3" w14:textId="77777777" w:rsidR="008C7307" w:rsidRPr="00E10AC0" w:rsidRDefault="008C7307" w:rsidP="008C7307">
      <w:pPr>
        <w:autoSpaceDE w:val="0"/>
        <w:autoSpaceDN w:val="0"/>
        <w:adjustRightInd w:val="0"/>
        <w:spacing w:line="360" w:lineRule="auto"/>
        <w:rPr>
          <w:rFonts w:ascii="Times New Roman" w:hAnsi="Times New Roman" w:cs="Times New Roman"/>
          <w:kern w:val="0"/>
          <w:sz w:val="28"/>
          <w:szCs w:val="28"/>
        </w:rPr>
      </w:pPr>
      <w:r w:rsidRPr="00E10AC0">
        <w:rPr>
          <w:rFonts w:ascii="Times New Roman" w:hAnsi="Times New Roman" w:cs="Times New Roman"/>
          <w:kern w:val="0"/>
          <w:sz w:val="28"/>
          <w:szCs w:val="28"/>
        </w:rPr>
        <w:t xml:space="preserve">(d) The trajectory plot colored by different state. </w:t>
      </w:r>
    </w:p>
    <w:p w14:paraId="5D3AB29B" w14:textId="77777777" w:rsidR="008C7307" w:rsidRPr="00E10AC0" w:rsidRDefault="008C7307" w:rsidP="008C7307">
      <w:pPr>
        <w:autoSpaceDE w:val="0"/>
        <w:autoSpaceDN w:val="0"/>
        <w:adjustRightInd w:val="0"/>
        <w:spacing w:line="360" w:lineRule="auto"/>
        <w:rPr>
          <w:rFonts w:ascii="Times New Roman" w:hAnsi="Times New Roman" w:cs="Times New Roman"/>
          <w:kern w:val="0"/>
          <w:sz w:val="28"/>
          <w:szCs w:val="28"/>
        </w:rPr>
      </w:pPr>
      <w:r w:rsidRPr="00E10AC0">
        <w:rPr>
          <w:rFonts w:ascii="Times New Roman" w:hAnsi="Times New Roman" w:cs="Times New Roman"/>
          <w:kern w:val="0"/>
          <w:sz w:val="28"/>
          <w:szCs w:val="28"/>
        </w:rPr>
        <w:t>(e-</w:t>
      </w:r>
      <w:proofErr w:type="spellStart"/>
      <w:r w:rsidRPr="00E10AC0">
        <w:rPr>
          <w:rFonts w:ascii="Times New Roman" w:hAnsi="Times New Roman" w:cs="Times New Roman"/>
          <w:kern w:val="0"/>
          <w:sz w:val="28"/>
          <w:szCs w:val="28"/>
        </w:rPr>
        <w:t>i</w:t>
      </w:r>
      <w:proofErr w:type="spellEnd"/>
      <w:r w:rsidRPr="00E10AC0">
        <w:rPr>
          <w:rFonts w:ascii="Times New Roman" w:hAnsi="Times New Roman" w:cs="Times New Roman"/>
          <w:kern w:val="0"/>
          <w:sz w:val="28"/>
          <w:szCs w:val="28"/>
        </w:rPr>
        <w:t xml:space="preserve">) The expression level along trajectory plot of FOXP3 (e), TIGIT (f), NUPR1 (g), PED1A (h) </w:t>
      </w:r>
      <w:r w:rsidRPr="00E10AC0">
        <w:rPr>
          <w:rFonts w:ascii="Times New Roman" w:hAnsi="Times New Roman" w:cs="Times New Roman" w:hint="eastAsia"/>
          <w:kern w:val="0"/>
          <w:sz w:val="28"/>
          <w:szCs w:val="28"/>
        </w:rPr>
        <w:t>and</w:t>
      </w:r>
      <w:r w:rsidRPr="00E10AC0">
        <w:rPr>
          <w:rFonts w:ascii="Times New Roman" w:hAnsi="Times New Roman" w:cs="Times New Roman"/>
          <w:kern w:val="0"/>
          <w:sz w:val="28"/>
          <w:szCs w:val="28"/>
        </w:rPr>
        <w:t xml:space="preserve"> SFRP1 (</w:t>
      </w:r>
      <w:proofErr w:type="spellStart"/>
      <w:r w:rsidRPr="00E10AC0">
        <w:rPr>
          <w:rFonts w:ascii="Times New Roman" w:hAnsi="Times New Roman" w:cs="Times New Roman"/>
          <w:kern w:val="0"/>
          <w:sz w:val="28"/>
          <w:szCs w:val="28"/>
        </w:rPr>
        <w:t>i</w:t>
      </w:r>
      <w:proofErr w:type="spellEnd"/>
      <w:r w:rsidRPr="00E10AC0">
        <w:rPr>
          <w:rFonts w:ascii="Times New Roman" w:hAnsi="Times New Roman" w:cs="Times New Roman"/>
          <w:kern w:val="0"/>
          <w:sz w:val="28"/>
          <w:szCs w:val="28"/>
        </w:rPr>
        <w:t xml:space="preserve">). </w:t>
      </w:r>
    </w:p>
    <w:p w14:paraId="2FE2CEB5" w14:textId="77777777" w:rsidR="008C7307" w:rsidRPr="00E10AC0" w:rsidRDefault="008C7307" w:rsidP="008C7307">
      <w:pPr>
        <w:autoSpaceDE w:val="0"/>
        <w:autoSpaceDN w:val="0"/>
        <w:adjustRightInd w:val="0"/>
        <w:spacing w:line="360" w:lineRule="auto"/>
        <w:rPr>
          <w:rFonts w:ascii="Times New Roman" w:hAnsi="Times New Roman" w:cs="Times New Roman"/>
          <w:kern w:val="0"/>
          <w:sz w:val="28"/>
          <w:szCs w:val="28"/>
        </w:rPr>
      </w:pPr>
      <w:r w:rsidRPr="00E10AC0">
        <w:rPr>
          <w:rFonts w:ascii="Times New Roman" w:hAnsi="Times New Roman" w:cs="Times New Roman"/>
          <w:kern w:val="0"/>
          <w:sz w:val="28"/>
          <w:szCs w:val="28"/>
        </w:rPr>
        <w:t xml:space="preserve">(j) Cell count proportion of CD4-CCR7 cells in state 2 and other states. </w:t>
      </w:r>
    </w:p>
    <w:p w14:paraId="2B20CCE6" w14:textId="77777777" w:rsidR="008C7307" w:rsidRPr="00E10AC0" w:rsidRDefault="008C7307" w:rsidP="008C7307">
      <w:pPr>
        <w:autoSpaceDE w:val="0"/>
        <w:autoSpaceDN w:val="0"/>
        <w:adjustRightInd w:val="0"/>
        <w:spacing w:line="360" w:lineRule="auto"/>
        <w:rPr>
          <w:rFonts w:ascii="Times New Roman" w:hAnsi="Times New Roman" w:cs="Times New Roman"/>
          <w:kern w:val="0"/>
          <w:sz w:val="28"/>
          <w:szCs w:val="28"/>
        </w:rPr>
      </w:pPr>
      <w:r w:rsidRPr="00E10AC0">
        <w:rPr>
          <w:rFonts w:ascii="Times New Roman" w:hAnsi="Times New Roman" w:cs="Times New Roman"/>
          <w:kern w:val="0"/>
          <w:sz w:val="28"/>
          <w:szCs w:val="28"/>
        </w:rPr>
        <w:t xml:space="preserve">(k) The cytotoxic signature expression along trajectory pathway. </w:t>
      </w:r>
    </w:p>
    <w:p w14:paraId="2461508C" w14:textId="77777777" w:rsidR="008C7307" w:rsidRPr="00E10AC0" w:rsidRDefault="008C7307" w:rsidP="008C7307">
      <w:pPr>
        <w:autoSpaceDE w:val="0"/>
        <w:autoSpaceDN w:val="0"/>
        <w:adjustRightInd w:val="0"/>
        <w:spacing w:line="360" w:lineRule="auto"/>
        <w:rPr>
          <w:rFonts w:ascii="Times New Roman" w:hAnsi="Times New Roman" w:cs="Times New Roman"/>
          <w:kern w:val="0"/>
          <w:sz w:val="28"/>
          <w:szCs w:val="28"/>
        </w:rPr>
      </w:pPr>
      <w:r w:rsidRPr="00E10AC0">
        <w:rPr>
          <w:rFonts w:ascii="Times New Roman" w:hAnsi="Times New Roman" w:cs="Times New Roman"/>
          <w:kern w:val="0"/>
          <w:sz w:val="28"/>
          <w:szCs w:val="28"/>
        </w:rPr>
        <w:t>(l, m) The expression level along trajectory plot of GZMA (l) and GZMK (m).</w:t>
      </w:r>
    </w:p>
    <w:p w14:paraId="445BDF27" w14:textId="77777777" w:rsidR="008C7307" w:rsidRPr="00E10AC0" w:rsidRDefault="008C7307" w:rsidP="008C7307">
      <w:pPr>
        <w:autoSpaceDE w:val="0"/>
        <w:autoSpaceDN w:val="0"/>
        <w:adjustRightInd w:val="0"/>
        <w:spacing w:line="360" w:lineRule="auto"/>
        <w:rPr>
          <w:rFonts w:ascii="Times New Roman" w:eastAsia="宋体" w:hAnsi="Times New Roman" w:cs="Times New Roman"/>
          <w:kern w:val="0"/>
          <w:sz w:val="28"/>
          <w:szCs w:val="28"/>
        </w:rPr>
      </w:pPr>
    </w:p>
    <w:p w14:paraId="138CC246" w14:textId="77777777" w:rsidR="008C7307" w:rsidRPr="00E10AC0" w:rsidRDefault="008C7307" w:rsidP="008C7307">
      <w:pPr>
        <w:autoSpaceDE w:val="0"/>
        <w:autoSpaceDN w:val="0"/>
        <w:adjustRightInd w:val="0"/>
        <w:spacing w:line="360" w:lineRule="auto"/>
        <w:rPr>
          <w:rFonts w:ascii="Times New Roman" w:hAnsi="Times New Roman" w:cs="Times New Roman"/>
          <w:b/>
          <w:bCs/>
          <w:kern w:val="0"/>
          <w:sz w:val="28"/>
          <w:szCs w:val="28"/>
        </w:rPr>
      </w:pPr>
      <w:r w:rsidRPr="00E10AC0">
        <w:rPr>
          <w:rFonts w:ascii="Times New Roman" w:hAnsi="Times New Roman" w:cs="Times New Roman"/>
          <w:b/>
          <w:bCs/>
          <w:kern w:val="0"/>
          <w:sz w:val="28"/>
          <w:szCs w:val="28"/>
        </w:rPr>
        <w:t>Supplementary Figure 7.</w:t>
      </w:r>
      <w:r w:rsidRPr="00E10AC0">
        <w:t xml:space="preserve"> </w:t>
      </w:r>
      <w:r w:rsidRPr="00E10AC0">
        <w:rPr>
          <w:rFonts w:ascii="Times New Roman" w:hAnsi="Times New Roman" w:cs="Times New Roman"/>
          <w:b/>
          <w:bCs/>
          <w:kern w:val="0"/>
          <w:sz w:val="28"/>
          <w:szCs w:val="28"/>
        </w:rPr>
        <w:t xml:space="preserve">Comparison of positive cells and co-localized positive cells count between imatinib resistant and sensitive patients. The Halo v3.0.311.314 analysis software was used to quantify the </w:t>
      </w:r>
      <w:r w:rsidRPr="00E10AC0">
        <w:rPr>
          <w:rFonts w:ascii="Times New Roman" w:hAnsi="Times New Roman" w:cs="Times New Roman"/>
          <w:b/>
          <w:bCs/>
          <w:kern w:val="0"/>
          <w:sz w:val="28"/>
          <w:szCs w:val="28"/>
        </w:rPr>
        <w:lastRenderedPageBreak/>
        <w:t xml:space="preserve">number of positive cells and co-localized positive cells in each section. </w:t>
      </w:r>
    </w:p>
    <w:p w14:paraId="1A05A883" w14:textId="77777777" w:rsidR="008C7307" w:rsidRPr="00E10AC0" w:rsidRDefault="008C7307" w:rsidP="008C7307">
      <w:pPr>
        <w:pStyle w:val="a7"/>
        <w:numPr>
          <w:ilvl w:val="0"/>
          <w:numId w:val="1"/>
        </w:numPr>
        <w:autoSpaceDE w:val="0"/>
        <w:autoSpaceDN w:val="0"/>
        <w:adjustRightInd w:val="0"/>
        <w:spacing w:line="360" w:lineRule="auto"/>
        <w:ind w:firstLineChars="0"/>
        <w:rPr>
          <w:rFonts w:ascii="Times New Roman" w:hAnsi="Times New Roman" w:cs="Times New Roman"/>
          <w:kern w:val="0"/>
          <w:sz w:val="28"/>
          <w:szCs w:val="28"/>
        </w:rPr>
      </w:pPr>
      <w:r w:rsidRPr="00E10AC0">
        <w:rPr>
          <w:rFonts w:ascii="Times New Roman" w:hAnsi="Times New Roman" w:cs="Times New Roman" w:hint="eastAsia"/>
          <w:kern w:val="0"/>
          <w:sz w:val="28"/>
          <w:szCs w:val="28"/>
        </w:rPr>
        <w:t>T</w:t>
      </w:r>
      <w:r w:rsidRPr="00E10AC0">
        <w:rPr>
          <w:rFonts w:ascii="Times New Roman" w:hAnsi="Times New Roman" w:cs="Times New Roman"/>
          <w:kern w:val="0"/>
          <w:sz w:val="28"/>
          <w:szCs w:val="28"/>
        </w:rPr>
        <w:t xml:space="preserve">he expression of FOXP3 (red) and TIGIT (green) </w:t>
      </w:r>
      <w:r w:rsidRPr="00E10AC0">
        <w:rPr>
          <w:rFonts w:ascii="Times New Roman" w:hAnsi="Times New Roman" w:cs="Times New Roman" w:hint="eastAsia"/>
          <w:kern w:val="0"/>
          <w:sz w:val="28"/>
          <w:szCs w:val="28"/>
        </w:rPr>
        <w:t xml:space="preserve">in </w:t>
      </w:r>
      <w:r w:rsidRPr="00E10AC0">
        <w:rPr>
          <w:rFonts w:ascii="Times New Roman" w:hAnsi="Times New Roman" w:cs="Times New Roman"/>
          <w:kern w:val="0"/>
          <w:sz w:val="28"/>
          <w:szCs w:val="28"/>
        </w:rPr>
        <w:t xml:space="preserve">imatinib  </w:t>
      </w:r>
    </w:p>
    <w:p w14:paraId="661E5C17" w14:textId="77777777" w:rsidR="008C7307" w:rsidRPr="00E10AC0" w:rsidRDefault="008C7307" w:rsidP="008C7307">
      <w:pPr>
        <w:autoSpaceDE w:val="0"/>
        <w:autoSpaceDN w:val="0"/>
        <w:adjustRightInd w:val="0"/>
        <w:spacing w:line="360" w:lineRule="auto"/>
        <w:rPr>
          <w:rFonts w:ascii="Times New Roman" w:hAnsi="Times New Roman" w:cs="Times New Roman"/>
          <w:kern w:val="0"/>
          <w:sz w:val="28"/>
          <w:szCs w:val="28"/>
        </w:rPr>
      </w:pPr>
      <w:r w:rsidRPr="00E10AC0">
        <w:rPr>
          <w:rFonts w:ascii="Times New Roman" w:hAnsi="Times New Roman" w:cs="Times New Roman"/>
          <w:kern w:val="0"/>
          <w:sz w:val="28"/>
          <w:szCs w:val="28"/>
        </w:rPr>
        <w:t>resistant and sensitive patients</w:t>
      </w:r>
      <w:r w:rsidRPr="00E10AC0">
        <w:rPr>
          <w:rFonts w:ascii="Times New Roman" w:hAnsi="Times New Roman" w:cs="Times New Roman" w:hint="eastAsia"/>
          <w:kern w:val="0"/>
          <w:sz w:val="28"/>
          <w:szCs w:val="28"/>
        </w:rPr>
        <w:t>.</w:t>
      </w:r>
    </w:p>
    <w:p w14:paraId="35BFC888" w14:textId="77777777" w:rsidR="008C7307" w:rsidRPr="00E10AC0" w:rsidRDefault="008C7307" w:rsidP="008C7307">
      <w:pPr>
        <w:pStyle w:val="a7"/>
        <w:numPr>
          <w:ilvl w:val="0"/>
          <w:numId w:val="1"/>
        </w:numPr>
        <w:autoSpaceDE w:val="0"/>
        <w:autoSpaceDN w:val="0"/>
        <w:adjustRightInd w:val="0"/>
        <w:spacing w:line="360" w:lineRule="auto"/>
        <w:ind w:firstLineChars="0"/>
        <w:rPr>
          <w:rFonts w:ascii="Times New Roman" w:hAnsi="Times New Roman" w:cs="Times New Roman"/>
          <w:kern w:val="0"/>
          <w:sz w:val="28"/>
          <w:szCs w:val="28"/>
        </w:rPr>
      </w:pPr>
      <w:r w:rsidRPr="00E10AC0">
        <w:rPr>
          <w:rFonts w:ascii="Times New Roman" w:hAnsi="Times New Roman" w:cs="Times New Roman" w:hint="eastAsia"/>
          <w:kern w:val="0"/>
          <w:sz w:val="28"/>
          <w:szCs w:val="28"/>
        </w:rPr>
        <w:t>T</w:t>
      </w:r>
      <w:r w:rsidRPr="00E10AC0">
        <w:rPr>
          <w:rFonts w:ascii="Times New Roman" w:hAnsi="Times New Roman" w:cs="Times New Roman"/>
          <w:kern w:val="0"/>
          <w:sz w:val="28"/>
          <w:szCs w:val="28"/>
        </w:rPr>
        <w:t xml:space="preserve">he expression of </w:t>
      </w:r>
      <w:proofErr w:type="spellStart"/>
      <w:r w:rsidRPr="00E10AC0">
        <w:rPr>
          <w:rFonts w:ascii="Times New Roman" w:hAnsi="Times New Roman" w:cs="Times New Roman"/>
          <w:kern w:val="0"/>
          <w:sz w:val="28"/>
          <w:szCs w:val="28"/>
        </w:rPr>
        <w:t>panCK</w:t>
      </w:r>
      <w:proofErr w:type="spellEnd"/>
      <w:r w:rsidRPr="00E10AC0">
        <w:rPr>
          <w:rFonts w:ascii="Times New Roman" w:hAnsi="Times New Roman" w:cs="Times New Roman"/>
          <w:kern w:val="0"/>
          <w:sz w:val="28"/>
          <w:szCs w:val="28"/>
        </w:rPr>
        <w:t xml:space="preserve"> (red), LYZ (green) and IDO1 (magenta)</w:t>
      </w:r>
    </w:p>
    <w:p w14:paraId="197CCBA5" w14:textId="77777777" w:rsidR="008C7307" w:rsidRPr="00E10AC0" w:rsidRDefault="008C7307" w:rsidP="008C7307">
      <w:pPr>
        <w:autoSpaceDE w:val="0"/>
        <w:autoSpaceDN w:val="0"/>
        <w:adjustRightInd w:val="0"/>
        <w:spacing w:line="360" w:lineRule="auto"/>
        <w:rPr>
          <w:rFonts w:ascii="Times New Roman" w:hAnsi="Times New Roman" w:cs="Times New Roman"/>
          <w:kern w:val="0"/>
          <w:sz w:val="28"/>
          <w:szCs w:val="28"/>
        </w:rPr>
      </w:pPr>
      <w:r w:rsidRPr="00E10AC0">
        <w:rPr>
          <w:rFonts w:ascii="Times New Roman" w:hAnsi="Times New Roman" w:cs="Times New Roman" w:hint="eastAsia"/>
          <w:kern w:val="0"/>
          <w:sz w:val="28"/>
          <w:szCs w:val="28"/>
        </w:rPr>
        <w:t xml:space="preserve">in </w:t>
      </w:r>
      <w:r w:rsidRPr="00E10AC0">
        <w:rPr>
          <w:rFonts w:ascii="Times New Roman" w:hAnsi="Times New Roman" w:cs="Times New Roman"/>
          <w:kern w:val="0"/>
          <w:sz w:val="28"/>
          <w:szCs w:val="28"/>
        </w:rPr>
        <w:t>imatinib resistant and sensitive patients</w:t>
      </w:r>
      <w:r w:rsidRPr="00E10AC0">
        <w:rPr>
          <w:rFonts w:ascii="Times New Roman" w:hAnsi="Times New Roman" w:cs="Times New Roman" w:hint="eastAsia"/>
          <w:kern w:val="0"/>
          <w:sz w:val="28"/>
          <w:szCs w:val="28"/>
        </w:rPr>
        <w:t>.</w:t>
      </w:r>
    </w:p>
    <w:p w14:paraId="639D424B" w14:textId="77777777" w:rsidR="008C7307" w:rsidRPr="00E10AC0" w:rsidRDefault="008C7307" w:rsidP="008C7307">
      <w:pPr>
        <w:autoSpaceDE w:val="0"/>
        <w:autoSpaceDN w:val="0"/>
        <w:adjustRightInd w:val="0"/>
        <w:spacing w:line="360" w:lineRule="auto"/>
        <w:rPr>
          <w:rFonts w:ascii="Times New Roman" w:eastAsia="宋体" w:hAnsi="Times New Roman" w:cs="Times New Roman"/>
          <w:kern w:val="0"/>
          <w:sz w:val="28"/>
          <w:szCs w:val="28"/>
        </w:rPr>
      </w:pPr>
    </w:p>
    <w:p w14:paraId="230530C8" w14:textId="77777777" w:rsidR="008C7307" w:rsidRPr="00E10AC0" w:rsidRDefault="008C7307" w:rsidP="008C7307">
      <w:pPr>
        <w:autoSpaceDE w:val="0"/>
        <w:autoSpaceDN w:val="0"/>
        <w:adjustRightInd w:val="0"/>
        <w:spacing w:line="360" w:lineRule="auto"/>
        <w:rPr>
          <w:rFonts w:ascii="Times New Roman" w:hAnsi="Times New Roman" w:cs="Times New Roman"/>
          <w:kern w:val="0"/>
          <w:sz w:val="28"/>
          <w:szCs w:val="28"/>
        </w:rPr>
      </w:pPr>
      <w:r w:rsidRPr="00E10AC0">
        <w:rPr>
          <w:rFonts w:ascii="Times New Roman" w:hAnsi="Times New Roman" w:cs="Times New Roman"/>
          <w:b/>
          <w:bCs/>
          <w:kern w:val="0"/>
          <w:sz w:val="28"/>
          <w:szCs w:val="28"/>
        </w:rPr>
        <w:t xml:space="preserve">Supplementary Figure 8. </w:t>
      </w:r>
      <w:r w:rsidRPr="00E10AC0">
        <w:rPr>
          <w:rFonts w:ascii="Times New Roman" w:hAnsi="Times New Roman" w:cs="Times New Roman" w:hint="eastAsia"/>
          <w:b/>
          <w:bCs/>
          <w:kern w:val="0"/>
          <w:sz w:val="28"/>
          <w:szCs w:val="28"/>
        </w:rPr>
        <w:t>The</w:t>
      </w:r>
      <w:r w:rsidRPr="00E10AC0">
        <w:rPr>
          <w:rFonts w:ascii="Times New Roman" w:hAnsi="Times New Roman" w:cs="Times New Roman"/>
          <w:b/>
          <w:bCs/>
          <w:kern w:val="0"/>
          <w:sz w:val="28"/>
          <w:szCs w:val="28"/>
        </w:rPr>
        <w:t xml:space="preserve"> </w:t>
      </w:r>
      <w:r w:rsidRPr="00E10AC0">
        <w:rPr>
          <w:rFonts w:ascii="Times New Roman" w:hAnsi="Times New Roman" w:cs="Times New Roman" w:hint="eastAsia"/>
          <w:b/>
          <w:bCs/>
          <w:kern w:val="0"/>
          <w:sz w:val="28"/>
          <w:szCs w:val="28"/>
        </w:rPr>
        <w:t>transcriptional</w:t>
      </w:r>
      <w:r w:rsidRPr="00E10AC0">
        <w:rPr>
          <w:rFonts w:ascii="Times New Roman" w:hAnsi="Times New Roman" w:cs="Times New Roman"/>
          <w:b/>
          <w:bCs/>
          <w:kern w:val="0"/>
          <w:sz w:val="28"/>
          <w:szCs w:val="28"/>
        </w:rPr>
        <w:t xml:space="preserve"> heterogeneity of B cells.</w:t>
      </w:r>
      <w:r w:rsidRPr="00E10AC0">
        <w:rPr>
          <w:rFonts w:ascii="Times New Roman" w:hAnsi="Times New Roman" w:cs="Times New Roman"/>
          <w:kern w:val="0"/>
          <w:sz w:val="28"/>
          <w:szCs w:val="28"/>
        </w:rPr>
        <w:t xml:space="preserve"> (a) 2 </w:t>
      </w:r>
      <w:r w:rsidRPr="00E10AC0">
        <w:rPr>
          <w:rFonts w:ascii="Times New Roman" w:hAnsi="Times New Roman" w:cs="Times New Roman" w:hint="eastAsia"/>
          <w:kern w:val="0"/>
          <w:sz w:val="28"/>
          <w:szCs w:val="28"/>
        </w:rPr>
        <w:t>subclusters</w:t>
      </w:r>
      <w:r w:rsidRPr="00E10AC0">
        <w:rPr>
          <w:rFonts w:ascii="Times New Roman" w:hAnsi="Times New Roman" w:cs="Times New Roman"/>
          <w:kern w:val="0"/>
          <w:sz w:val="28"/>
          <w:szCs w:val="28"/>
        </w:rPr>
        <w:t xml:space="preserve"> of B cells were identified by UMAP analysis. </w:t>
      </w:r>
    </w:p>
    <w:p w14:paraId="192D33F6" w14:textId="77777777" w:rsidR="008C7307" w:rsidRPr="00E10AC0" w:rsidRDefault="008C7307" w:rsidP="008C7307">
      <w:pPr>
        <w:autoSpaceDE w:val="0"/>
        <w:autoSpaceDN w:val="0"/>
        <w:adjustRightInd w:val="0"/>
        <w:spacing w:line="360" w:lineRule="auto"/>
        <w:rPr>
          <w:rFonts w:ascii="Times New Roman" w:hAnsi="Times New Roman" w:cs="Times New Roman"/>
          <w:kern w:val="0"/>
          <w:sz w:val="28"/>
          <w:szCs w:val="28"/>
        </w:rPr>
      </w:pPr>
      <w:r w:rsidRPr="00E10AC0">
        <w:rPr>
          <w:rFonts w:ascii="Times New Roman" w:hAnsi="Times New Roman" w:cs="Times New Roman"/>
          <w:kern w:val="0"/>
          <w:sz w:val="28"/>
          <w:szCs w:val="28"/>
        </w:rPr>
        <w:t xml:space="preserve">(b) Marker gene expression of each cell type. </w:t>
      </w:r>
    </w:p>
    <w:p w14:paraId="762F2CE5" w14:textId="77777777" w:rsidR="008C7307" w:rsidRPr="00E10AC0" w:rsidRDefault="008C7307" w:rsidP="008C7307">
      <w:pPr>
        <w:autoSpaceDE w:val="0"/>
        <w:autoSpaceDN w:val="0"/>
        <w:adjustRightInd w:val="0"/>
        <w:spacing w:line="360" w:lineRule="auto"/>
        <w:rPr>
          <w:rFonts w:ascii="Times New Roman" w:hAnsi="Times New Roman" w:cs="Times New Roman"/>
          <w:kern w:val="0"/>
          <w:sz w:val="28"/>
          <w:szCs w:val="28"/>
        </w:rPr>
      </w:pPr>
    </w:p>
    <w:p w14:paraId="0ADA46CE" w14:textId="77777777" w:rsidR="008C7307" w:rsidRPr="00E10AC0" w:rsidRDefault="008C7307" w:rsidP="008C7307">
      <w:pPr>
        <w:rPr>
          <w:rFonts w:ascii="Times New Roman" w:hAnsi="Times New Roman" w:cs="Times New Roman"/>
          <w:b/>
          <w:bCs/>
          <w:kern w:val="0"/>
          <w:sz w:val="28"/>
          <w:szCs w:val="28"/>
        </w:rPr>
      </w:pPr>
      <w:r w:rsidRPr="00E10AC0">
        <w:rPr>
          <w:rFonts w:ascii="Times New Roman" w:hAnsi="Times New Roman" w:cs="Times New Roman"/>
          <w:b/>
          <w:bCs/>
          <w:kern w:val="0"/>
          <w:sz w:val="28"/>
          <w:szCs w:val="28"/>
        </w:rPr>
        <w:t xml:space="preserve">Supplementary Figure 9. The overall cell communication strength </w:t>
      </w:r>
    </w:p>
    <w:p w14:paraId="72DAF8D1" w14:textId="77777777" w:rsidR="008C7307" w:rsidRPr="00E10AC0" w:rsidRDefault="008C7307" w:rsidP="008C7307">
      <w:pPr>
        <w:rPr>
          <w:rFonts w:ascii="Times New Roman" w:hAnsi="Times New Roman" w:cs="Times New Roman"/>
          <w:b/>
          <w:bCs/>
          <w:kern w:val="0"/>
          <w:sz w:val="28"/>
          <w:szCs w:val="28"/>
        </w:rPr>
      </w:pPr>
      <w:r w:rsidRPr="00E10AC0">
        <w:rPr>
          <w:rFonts w:ascii="Times New Roman" w:hAnsi="Times New Roman" w:cs="Times New Roman"/>
          <w:b/>
          <w:bCs/>
          <w:kern w:val="0"/>
          <w:sz w:val="28"/>
          <w:szCs w:val="28"/>
        </w:rPr>
        <w:t>between each cell type.</w:t>
      </w:r>
    </w:p>
    <w:p w14:paraId="55885BAA" w14:textId="77777777" w:rsidR="008C7307" w:rsidRPr="00E10AC0" w:rsidRDefault="008C7307" w:rsidP="008C7307">
      <w:pPr>
        <w:rPr>
          <w:rFonts w:ascii="Times New Roman" w:hAnsi="Times New Roman" w:cs="Times New Roman"/>
          <w:b/>
          <w:bCs/>
          <w:kern w:val="0"/>
          <w:sz w:val="28"/>
          <w:szCs w:val="28"/>
        </w:rPr>
      </w:pPr>
    </w:p>
    <w:p w14:paraId="6B317EC4" w14:textId="77777777" w:rsidR="008C7307" w:rsidRPr="006872AF" w:rsidRDefault="008C7307" w:rsidP="008C7307">
      <w:pPr>
        <w:rPr>
          <w:rFonts w:ascii="Times New Roman" w:eastAsia="新宋体" w:hAnsi="Times New Roman" w:cs="Times New Roman"/>
          <w:sz w:val="28"/>
          <w:szCs w:val="28"/>
        </w:rPr>
      </w:pPr>
      <w:r w:rsidRPr="006872AF">
        <w:rPr>
          <w:rFonts w:ascii="Times New Roman" w:hAnsi="Times New Roman" w:hint="eastAsia"/>
          <w:b/>
          <w:kern w:val="0"/>
          <w:sz w:val="28"/>
          <w:szCs w:val="28"/>
        </w:rPr>
        <w:t>Supplementary Data 1</w:t>
      </w:r>
      <w:r w:rsidRPr="006872AF">
        <w:rPr>
          <w:rFonts w:ascii="Times New Roman" w:hAnsi="Times New Roman"/>
          <w:kern w:val="0"/>
          <w:sz w:val="28"/>
          <w:szCs w:val="28"/>
        </w:rPr>
        <w:t xml:space="preserve"> Clinicopathologic </w:t>
      </w:r>
      <w:r w:rsidRPr="006872AF">
        <w:rPr>
          <w:rFonts w:ascii="Times New Roman" w:hAnsi="Times New Roman" w:hint="eastAsia"/>
          <w:kern w:val="0"/>
          <w:sz w:val="28"/>
          <w:szCs w:val="28"/>
        </w:rPr>
        <w:t>information</w:t>
      </w:r>
      <w:r w:rsidRPr="006872AF">
        <w:rPr>
          <w:rFonts w:ascii="Times New Roman" w:hAnsi="Times New Roman"/>
          <w:kern w:val="0"/>
          <w:sz w:val="28"/>
          <w:szCs w:val="28"/>
        </w:rPr>
        <w:t xml:space="preserve"> </w:t>
      </w:r>
      <w:r w:rsidRPr="006872AF">
        <w:rPr>
          <w:rFonts w:ascii="Times New Roman" w:hAnsi="Times New Roman" w:hint="eastAsia"/>
          <w:kern w:val="0"/>
          <w:sz w:val="28"/>
          <w:szCs w:val="28"/>
        </w:rPr>
        <w:t>of</w:t>
      </w:r>
      <w:r w:rsidRPr="006872AF">
        <w:rPr>
          <w:rFonts w:ascii="Times New Roman" w:hAnsi="Times New Roman"/>
          <w:kern w:val="0"/>
          <w:sz w:val="28"/>
          <w:szCs w:val="28"/>
        </w:rPr>
        <w:t xml:space="preserve"> </w:t>
      </w:r>
      <w:r w:rsidRPr="006872AF">
        <w:rPr>
          <w:rFonts w:ascii="Times New Roman" w:hAnsi="Times New Roman" w:hint="eastAsia"/>
          <w:kern w:val="0"/>
          <w:sz w:val="28"/>
          <w:szCs w:val="28"/>
        </w:rPr>
        <w:t xml:space="preserve">9 advanced </w:t>
      </w:r>
      <w:r w:rsidRPr="006872AF">
        <w:rPr>
          <w:rFonts w:ascii="Times New Roman" w:hAnsi="Times New Roman"/>
          <w:kern w:val="0"/>
          <w:sz w:val="28"/>
          <w:szCs w:val="28"/>
        </w:rPr>
        <w:t>gastrointestinal stromal tumor</w:t>
      </w:r>
      <w:r w:rsidRPr="006872AF">
        <w:rPr>
          <w:rFonts w:ascii="Times New Roman" w:hAnsi="Times New Roman" w:hint="eastAsia"/>
          <w:kern w:val="0"/>
          <w:sz w:val="28"/>
          <w:szCs w:val="28"/>
        </w:rPr>
        <w:t xml:space="preserve"> samples</w:t>
      </w:r>
    </w:p>
    <w:p w14:paraId="6E5FEA50" w14:textId="77777777" w:rsidR="008C7307" w:rsidRPr="006872AF" w:rsidRDefault="008C7307" w:rsidP="008C7307">
      <w:pPr>
        <w:spacing w:line="360" w:lineRule="auto"/>
        <w:rPr>
          <w:rFonts w:ascii="Times New Roman" w:hAnsi="Times New Roman" w:cs="Times New Roman"/>
          <w:kern w:val="0"/>
          <w:sz w:val="28"/>
          <w:szCs w:val="28"/>
        </w:rPr>
      </w:pPr>
      <w:r w:rsidRPr="006872AF">
        <w:rPr>
          <w:rFonts w:ascii="Times New Roman" w:hAnsi="Times New Roman" w:hint="eastAsia"/>
          <w:b/>
          <w:kern w:val="0"/>
          <w:sz w:val="28"/>
          <w:szCs w:val="28"/>
        </w:rPr>
        <w:t xml:space="preserve">Supplementary Data </w:t>
      </w:r>
      <w:r w:rsidRPr="006872AF">
        <w:rPr>
          <w:rFonts w:ascii="Times New Roman" w:hAnsi="Times New Roman"/>
          <w:b/>
          <w:kern w:val="0"/>
          <w:sz w:val="28"/>
          <w:szCs w:val="28"/>
        </w:rPr>
        <w:t>2</w:t>
      </w:r>
      <w:r w:rsidRPr="006872AF">
        <w:rPr>
          <w:rFonts w:ascii="Times New Roman" w:hAnsi="Times New Roman"/>
          <w:kern w:val="0"/>
          <w:sz w:val="28"/>
          <w:szCs w:val="28"/>
        </w:rPr>
        <w:t xml:space="preserve"> Clonal evolution analysis of GIST cells in different samples</w:t>
      </w:r>
    </w:p>
    <w:p w14:paraId="70ACE0C4" w14:textId="77777777" w:rsidR="008C7307" w:rsidRPr="006872AF" w:rsidRDefault="008C7307" w:rsidP="008C7307">
      <w:pPr>
        <w:spacing w:line="360" w:lineRule="auto"/>
        <w:rPr>
          <w:rFonts w:ascii="Times New Roman" w:hAnsi="Times New Roman" w:cs="Times New Roman"/>
          <w:kern w:val="0"/>
          <w:sz w:val="28"/>
          <w:szCs w:val="28"/>
        </w:rPr>
      </w:pPr>
      <w:r w:rsidRPr="006872AF">
        <w:rPr>
          <w:rFonts w:ascii="Times New Roman" w:hAnsi="Times New Roman" w:hint="eastAsia"/>
          <w:b/>
          <w:kern w:val="0"/>
          <w:sz w:val="28"/>
          <w:szCs w:val="28"/>
        </w:rPr>
        <w:t xml:space="preserve">Supplementary Data </w:t>
      </w:r>
      <w:r w:rsidRPr="006872AF">
        <w:rPr>
          <w:rFonts w:ascii="Times New Roman" w:hAnsi="Times New Roman"/>
          <w:b/>
          <w:kern w:val="0"/>
          <w:sz w:val="28"/>
          <w:szCs w:val="28"/>
        </w:rPr>
        <w:t>3</w:t>
      </w:r>
      <w:r w:rsidRPr="006872AF">
        <w:rPr>
          <w:rFonts w:ascii="Times New Roman" w:hAnsi="Times New Roman"/>
          <w:kern w:val="0"/>
          <w:sz w:val="28"/>
          <w:szCs w:val="28"/>
        </w:rPr>
        <w:t xml:space="preserve"> Each module's signal pathways</w:t>
      </w:r>
    </w:p>
    <w:p w14:paraId="3337BA03" w14:textId="77777777" w:rsidR="008C7307" w:rsidRPr="006872AF" w:rsidRDefault="008C7307" w:rsidP="008C7307">
      <w:pPr>
        <w:spacing w:line="360" w:lineRule="auto"/>
        <w:rPr>
          <w:rFonts w:ascii="Times New Roman" w:hAnsi="Times New Roman" w:cs="Times New Roman"/>
          <w:kern w:val="0"/>
          <w:sz w:val="28"/>
          <w:szCs w:val="28"/>
        </w:rPr>
      </w:pPr>
      <w:r w:rsidRPr="006872AF">
        <w:rPr>
          <w:rFonts w:ascii="Times New Roman" w:hAnsi="Times New Roman" w:hint="eastAsia"/>
          <w:b/>
          <w:kern w:val="0"/>
          <w:sz w:val="28"/>
          <w:szCs w:val="28"/>
        </w:rPr>
        <w:t xml:space="preserve">Supplementary Data </w:t>
      </w:r>
      <w:r w:rsidRPr="006872AF">
        <w:rPr>
          <w:rFonts w:ascii="Times New Roman" w:hAnsi="Times New Roman"/>
          <w:b/>
          <w:kern w:val="0"/>
          <w:sz w:val="28"/>
          <w:szCs w:val="28"/>
        </w:rPr>
        <w:t>4</w:t>
      </w:r>
      <w:r w:rsidRPr="006872AF">
        <w:rPr>
          <w:rFonts w:ascii="Times New Roman" w:hAnsi="Times New Roman"/>
          <w:kern w:val="0"/>
          <w:sz w:val="28"/>
          <w:szCs w:val="28"/>
        </w:rPr>
        <w:t xml:space="preserve"> The exhausted signature along the trajectory</w:t>
      </w:r>
    </w:p>
    <w:p w14:paraId="218B17E0" w14:textId="77777777" w:rsidR="00D946E1" w:rsidRPr="008C7307" w:rsidRDefault="00D946E1"/>
    <w:sectPr w:rsidR="00D946E1" w:rsidRPr="008C7307" w:rsidSect="00DE6421">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FFF9A" w14:textId="77777777" w:rsidR="00DE6421" w:rsidRDefault="00DE6421" w:rsidP="008C7307">
      <w:r>
        <w:separator/>
      </w:r>
    </w:p>
  </w:endnote>
  <w:endnote w:type="continuationSeparator" w:id="0">
    <w:p w14:paraId="4B630DE2" w14:textId="77777777" w:rsidR="00DE6421" w:rsidRDefault="00DE6421" w:rsidP="008C7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新宋体">
    <w:panose1 w:val="02010609030101010101"/>
    <w:charset w:val="86"/>
    <w:family w:val="modern"/>
    <w:pitch w:val="fixed"/>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4FCE1" w14:textId="77777777" w:rsidR="00DE6421" w:rsidRDefault="00DE6421" w:rsidP="008C7307">
      <w:r>
        <w:separator/>
      </w:r>
    </w:p>
  </w:footnote>
  <w:footnote w:type="continuationSeparator" w:id="0">
    <w:p w14:paraId="5FACFB64" w14:textId="77777777" w:rsidR="00DE6421" w:rsidRDefault="00DE6421" w:rsidP="008C73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C24C62"/>
    <w:multiLevelType w:val="hybridMultilevel"/>
    <w:tmpl w:val="250A7360"/>
    <w:lvl w:ilvl="0" w:tplc="B4F6B7A0">
      <w:start w:val="1"/>
      <w:numFmt w:val="lowerLetter"/>
      <w:lvlText w:val="(%1)"/>
      <w:lvlJc w:val="left"/>
      <w:pPr>
        <w:ind w:left="450" w:hanging="45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077782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87A"/>
    <w:rsid w:val="001E087A"/>
    <w:rsid w:val="006872AF"/>
    <w:rsid w:val="008C7307"/>
    <w:rsid w:val="00D946E1"/>
    <w:rsid w:val="00DE64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92349"/>
  <w15:chartTrackingRefBased/>
  <w15:docId w15:val="{2FC545C4-BD42-4C7B-AEF3-A114DC35E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7307"/>
    <w:pPr>
      <w:widowControl w:val="0"/>
      <w:jc w:val="both"/>
    </w:pPr>
    <w:rPr>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7307"/>
    <w:pPr>
      <w:tabs>
        <w:tab w:val="center" w:pos="4153"/>
        <w:tab w:val="right" w:pos="8306"/>
      </w:tabs>
      <w:snapToGrid w:val="0"/>
      <w:jc w:val="center"/>
    </w:pPr>
    <w:rPr>
      <w:sz w:val="18"/>
      <w:szCs w:val="18"/>
    </w:rPr>
  </w:style>
  <w:style w:type="character" w:customStyle="1" w:styleId="a4">
    <w:name w:val="页眉 字符"/>
    <w:basedOn w:val="a0"/>
    <w:link w:val="a3"/>
    <w:uiPriority w:val="99"/>
    <w:rsid w:val="008C7307"/>
    <w:rPr>
      <w:sz w:val="18"/>
      <w:szCs w:val="18"/>
    </w:rPr>
  </w:style>
  <w:style w:type="paragraph" w:styleId="a5">
    <w:name w:val="footer"/>
    <w:basedOn w:val="a"/>
    <w:link w:val="a6"/>
    <w:uiPriority w:val="99"/>
    <w:unhideWhenUsed/>
    <w:rsid w:val="008C7307"/>
    <w:pPr>
      <w:tabs>
        <w:tab w:val="center" w:pos="4153"/>
        <w:tab w:val="right" w:pos="8306"/>
      </w:tabs>
      <w:snapToGrid w:val="0"/>
      <w:jc w:val="left"/>
    </w:pPr>
    <w:rPr>
      <w:sz w:val="18"/>
      <w:szCs w:val="18"/>
    </w:rPr>
  </w:style>
  <w:style w:type="character" w:customStyle="1" w:styleId="a6">
    <w:name w:val="页脚 字符"/>
    <w:basedOn w:val="a0"/>
    <w:link w:val="a5"/>
    <w:uiPriority w:val="99"/>
    <w:rsid w:val="008C7307"/>
    <w:rPr>
      <w:sz w:val="18"/>
      <w:szCs w:val="18"/>
    </w:rPr>
  </w:style>
  <w:style w:type="character" w:customStyle="1" w:styleId="font71">
    <w:name w:val="font71"/>
    <w:basedOn w:val="a0"/>
    <w:autoRedefine/>
    <w:qFormat/>
    <w:rsid w:val="008C7307"/>
    <w:rPr>
      <w:rFonts w:ascii="宋体" w:eastAsia="宋体" w:hAnsi="宋体" w:cs="宋体" w:hint="eastAsia"/>
      <w:color w:val="000000"/>
      <w:sz w:val="22"/>
      <w:szCs w:val="22"/>
      <w:u w:val="none"/>
    </w:rPr>
  </w:style>
  <w:style w:type="character" w:customStyle="1" w:styleId="font61">
    <w:name w:val="font61"/>
    <w:basedOn w:val="a0"/>
    <w:autoRedefine/>
    <w:qFormat/>
    <w:rsid w:val="008C7307"/>
    <w:rPr>
      <w:rFonts w:ascii="Times New Roman" w:hAnsi="Times New Roman" w:cs="Times New Roman" w:hint="default"/>
      <w:color w:val="000000"/>
      <w:sz w:val="22"/>
      <w:szCs w:val="22"/>
      <w:u w:val="none"/>
    </w:rPr>
  </w:style>
  <w:style w:type="paragraph" w:styleId="a7">
    <w:name w:val="List Paragraph"/>
    <w:basedOn w:val="a"/>
    <w:uiPriority w:val="99"/>
    <w:unhideWhenUsed/>
    <w:rsid w:val="008C7307"/>
    <w:pPr>
      <w:ind w:firstLineChars="200" w:firstLine="420"/>
    </w:pPr>
  </w:style>
  <w:style w:type="character" w:styleId="a8">
    <w:name w:val="line number"/>
    <w:basedOn w:val="a0"/>
    <w:uiPriority w:val="99"/>
    <w:semiHidden/>
    <w:unhideWhenUsed/>
    <w:rsid w:val="008C7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473</Words>
  <Characters>2700</Characters>
  <Application>Microsoft Office Word</Application>
  <DocSecurity>0</DocSecurity>
  <Lines>22</Lines>
  <Paragraphs>6</Paragraphs>
  <ScaleCrop>false</ScaleCrop>
  <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liu</dc:creator>
  <cp:keywords/>
  <dc:description/>
  <cp:lastModifiedBy>liu liu</cp:lastModifiedBy>
  <cp:revision>3</cp:revision>
  <dcterms:created xsi:type="dcterms:W3CDTF">2024-02-10T03:14:00Z</dcterms:created>
  <dcterms:modified xsi:type="dcterms:W3CDTF">2024-02-10T03:23:00Z</dcterms:modified>
</cp:coreProperties>
</file>