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621BD" w14:textId="77777777" w:rsidR="005920AC" w:rsidRDefault="005920AC">
      <w:pPr>
        <w:rPr>
          <w:rFonts w:ascii="Times New Roman" w:hAnsi="Times New Roman" w:cs="Times New Roman"/>
          <w:b/>
          <w:sz w:val="28"/>
          <w:szCs w:val="28"/>
        </w:rPr>
      </w:pPr>
      <w:r>
        <w:rPr>
          <w:rFonts w:ascii="Times New Roman" w:hAnsi="Times New Roman" w:cs="Times New Roman"/>
          <w:b/>
          <w:sz w:val="28"/>
          <w:szCs w:val="28"/>
        </w:rPr>
        <w:t>Supplementary Data S1</w:t>
      </w:r>
    </w:p>
    <w:p w14:paraId="7FAB7B06" w14:textId="62200094" w:rsidR="00DF1630" w:rsidRDefault="005920AC">
      <w:pPr>
        <w:rPr>
          <w:rFonts w:ascii="Times New Roman" w:hAnsi="Times New Roman" w:cs="Times New Roman"/>
          <w:b/>
          <w:sz w:val="28"/>
          <w:szCs w:val="28"/>
        </w:rPr>
      </w:pPr>
      <w:r>
        <w:rPr>
          <w:rFonts w:ascii="Times New Roman" w:hAnsi="Times New Roman" w:cs="Times New Roman"/>
          <w:b/>
          <w:sz w:val="28"/>
          <w:szCs w:val="28"/>
        </w:rPr>
        <w:t>Supplementary m</w:t>
      </w:r>
      <w:r w:rsidR="00C62A0F">
        <w:rPr>
          <w:rFonts w:ascii="Times New Roman" w:hAnsi="Times New Roman" w:cs="Times New Roman"/>
          <w:b/>
          <w:sz w:val="28"/>
          <w:szCs w:val="28"/>
        </w:rPr>
        <w:t>aterials and methods</w:t>
      </w:r>
    </w:p>
    <w:p w14:paraId="6A5D83B6" w14:textId="77777777" w:rsidR="00902F65" w:rsidRDefault="00902F65" w:rsidP="00902F65">
      <w:pPr>
        <w:rPr>
          <w:rFonts w:ascii="Times New Roman" w:hAnsi="Times New Roman" w:cs="Times New Roman"/>
          <w:b/>
          <w:bCs/>
          <w:sz w:val="28"/>
          <w:szCs w:val="28"/>
        </w:rPr>
      </w:pPr>
      <w:r>
        <w:rPr>
          <w:rFonts w:ascii="Times New Roman" w:hAnsi="Times New Roman" w:cs="Times New Roman" w:hint="eastAsia"/>
          <w:b/>
          <w:bCs/>
          <w:sz w:val="28"/>
          <w:szCs w:val="28"/>
        </w:rPr>
        <w:t>B</w:t>
      </w:r>
      <w:r>
        <w:rPr>
          <w:rFonts w:ascii="Times New Roman" w:hAnsi="Times New Roman" w:cs="Times New Roman"/>
          <w:b/>
          <w:bCs/>
          <w:sz w:val="28"/>
          <w:szCs w:val="28"/>
        </w:rPr>
        <w:t>ioinformatics analyses</w:t>
      </w:r>
    </w:p>
    <w:p w14:paraId="26141085" w14:textId="40D04BD9"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Gene expression data from </w:t>
      </w:r>
      <w:proofErr w:type="spellStart"/>
      <w:r>
        <w:rPr>
          <w:rFonts w:ascii="Times New Roman" w:hAnsi="Times New Roman" w:cs="Times New Roman"/>
          <w:sz w:val="28"/>
          <w:szCs w:val="28"/>
        </w:rPr>
        <w:t>ccRCC</w:t>
      </w:r>
      <w:proofErr w:type="spellEnd"/>
      <w:r>
        <w:rPr>
          <w:rFonts w:ascii="Times New Roman" w:hAnsi="Times New Roman" w:cs="Times New Roman"/>
          <w:sz w:val="28"/>
          <w:szCs w:val="28"/>
        </w:rPr>
        <w:t xml:space="preserve"> patient tumor and </w:t>
      </w:r>
      <w:proofErr w:type="spellStart"/>
      <w:r>
        <w:rPr>
          <w:rFonts w:ascii="Times New Roman" w:hAnsi="Times New Roman" w:cs="Times New Roman"/>
          <w:sz w:val="28"/>
          <w:szCs w:val="28"/>
        </w:rPr>
        <w:t>paracancerous</w:t>
      </w:r>
      <w:proofErr w:type="spellEnd"/>
      <w:r>
        <w:rPr>
          <w:rFonts w:ascii="Times New Roman" w:hAnsi="Times New Roman" w:cs="Times New Roman"/>
          <w:sz w:val="28"/>
          <w:szCs w:val="28"/>
        </w:rPr>
        <w:t xml:space="preserve"> tissue samples were obtained from the TCGA-KIRC database along with corresponding clinical data, as downloaded from </w:t>
      </w:r>
      <w:proofErr w:type="spellStart"/>
      <w:r>
        <w:rPr>
          <w:rFonts w:ascii="Times New Roman" w:hAnsi="Times New Roman" w:cs="Times New Roman"/>
          <w:sz w:val="28"/>
          <w:szCs w:val="28"/>
        </w:rPr>
        <w:t>cBioPortal</w:t>
      </w:r>
      <w:proofErr w:type="spellEnd"/>
      <w:r>
        <w:rPr>
          <w:rFonts w:ascii="Times New Roman" w:hAnsi="Times New Roman" w:cs="Times New Roman"/>
          <w:sz w:val="28"/>
          <w:szCs w:val="28"/>
        </w:rPr>
        <w:t xml:space="preserve"> (http://www.cbioportal.org). </w:t>
      </w:r>
      <w:r w:rsidR="0054148B" w:rsidRPr="0008226C">
        <w:rPr>
          <w:rFonts w:ascii="Times New Roman" w:hAnsi="Times New Roman" w:cs="Times New Roman"/>
          <w:sz w:val="28"/>
          <w:szCs w:val="28"/>
        </w:rPr>
        <w:t xml:space="preserve">None of the selected patients had received targeted therapy, immunotherapy, chemotherapy, or radiotherapy prior to surgical removal of their tumors in the TCGA dataset. </w:t>
      </w:r>
      <w:r w:rsidR="00875AE1" w:rsidRPr="0008226C">
        <w:rPr>
          <w:rFonts w:ascii="Times New Roman" w:hAnsi="Times New Roman" w:cs="Times New Roman"/>
          <w:sz w:val="28"/>
          <w:szCs w:val="28"/>
        </w:rPr>
        <w:t xml:space="preserve">The clinical staging of RCC patients in the TCGA database was performed according to the tumor staging system established by the American Joint Committee on Cancer (AJCC). The commonly used versions of the tumor staging system were the 7th and 8th editions, which were selected based on the specific time point and data version used in the study. Moreover, the Fuhrman grading system was employed for the pathological grading of RCC patients. Survival curve analysis employed the median as a threshold to differentiate high and low expression groups. </w:t>
      </w:r>
      <w:r>
        <w:rPr>
          <w:rFonts w:ascii="Times New Roman" w:hAnsi="Times New Roman" w:cs="Times New Roman"/>
          <w:sz w:val="28"/>
          <w:szCs w:val="28"/>
        </w:rPr>
        <w:t>A lipid metabolism-related gene list (Table S1) was derived from the Molecular Signatures Database (https://www.gsea-msigdb.org/gsea/msigdb/index.jsp). Pathways enriched in this gene set were assessed via a Gene Set Enrichment Analysis (GSEA) approach, with a false discovery rate (FDR) &lt; 0.25 and a P &lt; 0.05 as the threshold for significance.</w:t>
      </w:r>
    </w:p>
    <w:p w14:paraId="3F6CEC29"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lastRenderedPageBreak/>
        <w:t>Migration and invasion analyses</w:t>
      </w:r>
    </w:p>
    <w:p w14:paraId="50ACADC5"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Wound healing assays were performed by growing cells to 100% confluence in 6-well plates and then using a sterile 200 </w:t>
      </w:r>
      <w:proofErr w:type="spellStart"/>
      <w:r>
        <w:rPr>
          <w:rFonts w:ascii="Times New Roman" w:hAnsi="Times New Roman" w:cs="Times New Roman"/>
          <w:sz w:val="28"/>
          <w:szCs w:val="28"/>
        </w:rPr>
        <w:t>μL</w:t>
      </w:r>
      <w:proofErr w:type="spellEnd"/>
      <w:r>
        <w:rPr>
          <w:rFonts w:ascii="Times New Roman" w:hAnsi="Times New Roman" w:cs="Times New Roman"/>
          <w:sz w:val="28"/>
          <w:szCs w:val="28"/>
        </w:rPr>
        <w:t xml:space="preserve"> tip to generate a scratch wound. After rinsing away injured cells with PBS, cells were cultured in 1% FBS-containing media, and a measurement of wound width was taken every 24 h. For </w:t>
      </w:r>
      <w:proofErr w:type="spellStart"/>
      <w:r>
        <w:rPr>
          <w:rFonts w:ascii="Times New Roman" w:hAnsi="Times New Roman" w:cs="Times New Roman"/>
          <w:sz w:val="28"/>
          <w:szCs w:val="28"/>
        </w:rPr>
        <w:t>Transwell</w:t>
      </w:r>
      <w:proofErr w:type="spellEnd"/>
      <w:r>
        <w:rPr>
          <w:rFonts w:ascii="Times New Roman" w:hAnsi="Times New Roman" w:cs="Times New Roman"/>
          <w:sz w:val="28"/>
          <w:szCs w:val="28"/>
        </w:rPr>
        <w:t xml:space="preserve"> assays of migratory and invasive activity, cells were cultured for 24 h in serum-free media before addition to the upper portion of the </w:t>
      </w:r>
      <w:proofErr w:type="spellStart"/>
      <w:r>
        <w:rPr>
          <w:rFonts w:ascii="Times New Roman" w:hAnsi="Times New Roman" w:cs="Times New Roman"/>
          <w:sz w:val="28"/>
          <w:szCs w:val="28"/>
        </w:rPr>
        <w:t>Transwell</w:t>
      </w:r>
      <w:proofErr w:type="spellEnd"/>
      <w:r>
        <w:rPr>
          <w:rFonts w:ascii="Times New Roman" w:hAnsi="Times New Roman" w:cs="Times New Roman"/>
          <w:sz w:val="28"/>
          <w:szCs w:val="28"/>
        </w:rPr>
        <w:t xml:space="preserve"> chamber. Cellular </w:t>
      </w:r>
      <w:proofErr w:type="spellStart"/>
      <w:r>
        <w:rPr>
          <w:rFonts w:ascii="Times New Roman" w:hAnsi="Times New Roman" w:cs="Times New Roman"/>
          <w:sz w:val="28"/>
          <w:szCs w:val="28"/>
        </w:rPr>
        <w:t>invasivity</w:t>
      </w:r>
      <w:proofErr w:type="spellEnd"/>
      <w:r>
        <w:rPr>
          <w:rFonts w:ascii="Times New Roman" w:hAnsi="Times New Roman" w:cs="Times New Roman"/>
          <w:sz w:val="28"/>
          <w:szCs w:val="28"/>
        </w:rPr>
        <w:t xml:space="preserve"> was assessed using inserts that had been coated with Matrigel (1:8). Following incubation for 24 h, cells were fixed with methanol and stained </w:t>
      </w:r>
      <w:proofErr w:type="gramStart"/>
      <w:r>
        <w:rPr>
          <w:rFonts w:ascii="Times New Roman" w:hAnsi="Times New Roman" w:cs="Times New Roman"/>
          <w:sz w:val="28"/>
          <w:szCs w:val="28"/>
        </w:rPr>
        <w:t>using  0.05</w:t>
      </w:r>
      <w:proofErr w:type="gramEnd"/>
      <w:r>
        <w:rPr>
          <w:rFonts w:ascii="Times New Roman" w:hAnsi="Times New Roman" w:cs="Times New Roman"/>
          <w:sz w:val="28"/>
          <w:szCs w:val="28"/>
        </w:rPr>
        <w:t xml:space="preserve">% crystal violet. Cells were imaged via microscopy, and cells in randomly selected fields were counted. </w:t>
      </w:r>
    </w:p>
    <w:p w14:paraId="0B934658" w14:textId="77777777" w:rsidR="00902F65" w:rsidRDefault="00902F65" w:rsidP="00902F65">
      <w:pPr>
        <w:rPr>
          <w:rFonts w:ascii="Times New Roman" w:hAnsi="Times New Roman" w:cs="Times New Roman"/>
          <w:b/>
          <w:bCs/>
          <w:sz w:val="28"/>
          <w:szCs w:val="28"/>
        </w:rPr>
      </w:pPr>
      <w:r>
        <w:rPr>
          <w:rFonts w:ascii="Times New Roman" w:hAnsi="Times New Roman" w:cs="Times New Roman" w:hint="eastAsia"/>
          <w:b/>
          <w:bCs/>
          <w:sz w:val="28"/>
          <w:szCs w:val="28"/>
        </w:rPr>
        <w:t>N</w:t>
      </w:r>
      <w:r>
        <w:rPr>
          <w:rFonts w:ascii="Times New Roman" w:hAnsi="Times New Roman" w:cs="Times New Roman"/>
          <w:b/>
          <w:bCs/>
          <w:sz w:val="28"/>
          <w:szCs w:val="28"/>
        </w:rPr>
        <w:t xml:space="preserve">ile Red staining </w:t>
      </w:r>
    </w:p>
    <w:p w14:paraId="2BFE6766"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Intracellular LDs were quantified via confocal microscopy when using a Nile Red Staining Kit (ab228553, Abcam). After preparing the room temperature Nile Red Staining Solution as instructed, culture media was replaced with an equal volume of this staining solution and cells were incubated for 20 min at 37℃ in a 5% CO</w:t>
      </w:r>
      <w:r>
        <w:rPr>
          <w:rFonts w:ascii="Times New Roman" w:hAnsi="Times New Roman" w:cs="Times New Roman"/>
          <w:sz w:val="28"/>
          <w:szCs w:val="28"/>
          <w:vertAlign w:val="subscript"/>
        </w:rPr>
        <w:t>2</w:t>
      </w:r>
      <w:r>
        <w:rPr>
          <w:rFonts w:ascii="Times New Roman" w:hAnsi="Times New Roman" w:cs="Times New Roman"/>
          <w:sz w:val="28"/>
          <w:szCs w:val="28"/>
        </w:rPr>
        <w:t xml:space="preserve"> incubator. After removing the staining solution, DAPI was used for nuclear counterstaining, followed by confocal microscopic imaging. </w:t>
      </w:r>
    </w:p>
    <w:p w14:paraId="59D18E31"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t>ER staining</w:t>
      </w:r>
    </w:p>
    <w:p w14:paraId="5748DB58"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Cells were plated in triplicate confocal microscopy Petri dishes, rinsed </w:t>
      </w:r>
      <w:r>
        <w:rPr>
          <w:rFonts w:ascii="Times New Roman" w:hAnsi="Times New Roman" w:cs="Times New Roman"/>
          <w:sz w:val="28"/>
          <w:szCs w:val="28"/>
        </w:rPr>
        <w:lastRenderedPageBreak/>
        <w:t>twice with HBSS containing Ca</w:t>
      </w:r>
      <w:r>
        <w:rPr>
          <w:rFonts w:ascii="Times New Roman" w:hAnsi="Times New Roman" w:cs="Times New Roman"/>
          <w:sz w:val="28"/>
          <w:szCs w:val="28"/>
          <w:vertAlign w:val="superscript"/>
        </w:rPr>
        <w:t>2+</w:t>
      </w:r>
      <w:r>
        <w:rPr>
          <w:rFonts w:ascii="Times New Roman" w:hAnsi="Times New Roman" w:cs="Times New Roman"/>
          <w:sz w:val="28"/>
          <w:szCs w:val="28"/>
        </w:rPr>
        <w:t xml:space="preserve"> and Mg</w:t>
      </w:r>
      <w:r>
        <w:rPr>
          <w:rFonts w:ascii="Times New Roman" w:hAnsi="Times New Roman" w:cs="Times New Roman"/>
          <w:sz w:val="28"/>
          <w:szCs w:val="28"/>
          <w:vertAlign w:val="superscript"/>
        </w:rPr>
        <w:t>2+</w:t>
      </w:r>
      <w:r>
        <w:rPr>
          <w:rFonts w:ascii="Times New Roman" w:hAnsi="Times New Roman" w:cs="Times New Roman"/>
          <w:sz w:val="28"/>
          <w:szCs w:val="28"/>
        </w:rPr>
        <w:t>, and incubated for 15 min in warm working solution from the ER-Tracker Red Kit (</w:t>
      </w:r>
      <w:proofErr w:type="spellStart"/>
      <w:r>
        <w:rPr>
          <w:rFonts w:ascii="Times New Roman" w:hAnsi="Times New Roman" w:cs="Times New Roman"/>
          <w:sz w:val="28"/>
          <w:szCs w:val="28"/>
        </w:rPr>
        <w:t>Servicebio</w:t>
      </w:r>
      <w:proofErr w:type="spellEnd"/>
      <w:r>
        <w:rPr>
          <w:rFonts w:ascii="Times New Roman" w:hAnsi="Times New Roman" w:cs="Times New Roman"/>
          <w:sz w:val="28"/>
          <w:szCs w:val="28"/>
        </w:rPr>
        <w:t xml:space="preserve">). Cells were then rinsed two times using RPMI-1640, fixed for 5 min with 4% PFA, and nuclei were counterstained with DAPI, followed by confocal microscopic imaging. </w:t>
      </w:r>
    </w:p>
    <w:p w14:paraId="2113AE3D" w14:textId="77777777" w:rsidR="00902F65" w:rsidRDefault="00902F65" w:rsidP="00902F65">
      <w:pPr>
        <w:rPr>
          <w:rFonts w:ascii="Times New Roman" w:hAnsi="Times New Roman" w:cs="Times New Roman"/>
          <w:b/>
          <w:bCs/>
          <w:sz w:val="28"/>
          <w:szCs w:val="28"/>
        </w:rPr>
      </w:pPr>
      <w:r>
        <w:rPr>
          <w:rFonts w:ascii="Times New Roman" w:hAnsi="Times New Roman" w:cs="Times New Roman" w:hint="eastAsia"/>
          <w:b/>
          <w:bCs/>
          <w:sz w:val="28"/>
          <w:szCs w:val="28"/>
        </w:rPr>
        <w:t>O</w:t>
      </w:r>
      <w:r>
        <w:rPr>
          <w:rFonts w:ascii="Times New Roman" w:hAnsi="Times New Roman" w:cs="Times New Roman"/>
          <w:b/>
          <w:bCs/>
          <w:sz w:val="28"/>
          <w:szCs w:val="28"/>
        </w:rPr>
        <w:t xml:space="preserve">il Red O staining </w:t>
      </w:r>
    </w:p>
    <w:p w14:paraId="0B1029E3"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Saturated Oil Red O solution (</w:t>
      </w:r>
      <w:proofErr w:type="spellStart"/>
      <w:r>
        <w:rPr>
          <w:rFonts w:ascii="Times New Roman" w:hAnsi="Times New Roman" w:cs="Times New Roman"/>
          <w:sz w:val="28"/>
          <w:szCs w:val="28"/>
        </w:rPr>
        <w:t>Beyotime</w:t>
      </w:r>
      <w:proofErr w:type="spellEnd"/>
      <w:r>
        <w:rPr>
          <w:rFonts w:ascii="Times New Roman" w:hAnsi="Times New Roman" w:cs="Times New Roman"/>
          <w:sz w:val="28"/>
          <w:szCs w:val="28"/>
        </w:rPr>
        <w:t>) was diluted at a 6:4 ratio with dH</w:t>
      </w:r>
      <w:r>
        <w:rPr>
          <w:rFonts w:ascii="Times New Roman" w:hAnsi="Times New Roman" w:cs="Times New Roman"/>
          <w:sz w:val="28"/>
          <w:szCs w:val="28"/>
          <w:vertAlign w:val="subscript"/>
        </w:rPr>
        <w:t>2</w:t>
      </w:r>
      <w:r>
        <w:rPr>
          <w:rFonts w:ascii="Times New Roman" w:hAnsi="Times New Roman" w:cs="Times New Roman"/>
          <w:sz w:val="28"/>
          <w:szCs w:val="28"/>
        </w:rPr>
        <w:t xml:space="preserve">O to prepare a working solution. Frozen sections of tissue in OCT compound were cut to a thickness of 8 </w:t>
      </w:r>
      <w:proofErr w:type="spellStart"/>
      <w:r>
        <w:rPr>
          <w:rFonts w:ascii="Times New Roman" w:hAnsi="Times New Roman" w:cs="Times New Roman"/>
          <w:sz w:val="28"/>
          <w:szCs w:val="28"/>
        </w:rPr>
        <w:t>μm</w:t>
      </w:r>
      <w:proofErr w:type="spellEnd"/>
      <w:r>
        <w:rPr>
          <w:rFonts w:ascii="Times New Roman" w:hAnsi="Times New Roman" w:cs="Times New Roman"/>
          <w:sz w:val="28"/>
          <w:szCs w:val="28"/>
        </w:rPr>
        <w:t xml:space="preserve">, fixed for 10 min with 4% PFA, and then used for staining. Similarly, cells in 6-well plates were rinsed two times using PBS, fixed for 10 min with 4% PFA, and used for staining. In both cases, samples were then treated for 30 s with 60% isopropanol, after which they were stained in the dark at room temperature with Oil Red O staining solution for 10 min. Sections of tissue were counterstained for 2 min using hematoxylin. Samples were rinsed two times, imaged, and counted. LD length in 100 cells was assessed in ImageJ in pixels. </w:t>
      </w:r>
    </w:p>
    <w:p w14:paraId="0623A722" w14:textId="77777777" w:rsidR="00902F65" w:rsidRDefault="00902F65" w:rsidP="00902F65">
      <w:pPr>
        <w:rPr>
          <w:rFonts w:ascii="Times New Roman" w:hAnsi="Times New Roman" w:cs="Times New Roman"/>
          <w:b/>
          <w:bCs/>
          <w:sz w:val="28"/>
          <w:szCs w:val="28"/>
        </w:rPr>
      </w:pPr>
      <w:r>
        <w:rPr>
          <w:rFonts w:ascii="Times New Roman" w:hAnsi="Times New Roman" w:cs="Times New Roman" w:hint="eastAsia"/>
          <w:b/>
          <w:bCs/>
          <w:sz w:val="28"/>
          <w:szCs w:val="28"/>
        </w:rPr>
        <w:t>T</w:t>
      </w:r>
      <w:r>
        <w:rPr>
          <w:rFonts w:ascii="Times New Roman" w:hAnsi="Times New Roman" w:cs="Times New Roman"/>
          <w:b/>
          <w:bCs/>
          <w:sz w:val="28"/>
          <w:szCs w:val="28"/>
        </w:rPr>
        <w:t>G and cholesterol analyses</w:t>
      </w:r>
    </w:p>
    <w:p w14:paraId="20CF89A3"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Serum or cellular TG or cholesterol levels were assessed with a TG assay kit (Bioengineering) and a Total Cholesterol assay kit (Bioengineering) as per the provided directions. Briefly, an ultrasonic instrument was used to lyse tissue or cell samples, while serum was centrifuged (10 min, 12,000 rpm, 4℃). Then, 2.5 </w:t>
      </w:r>
      <w:proofErr w:type="spellStart"/>
      <w:r>
        <w:rPr>
          <w:rFonts w:ascii="Times New Roman" w:hAnsi="Times New Roman" w:cs="Times New Roman"/>
          <w:sz w:val="28"/>
          <w:szCs w:val="28"/>
        </w:rPr>
        <w:t>μL</w:t>
      </w:r>
      <w:proofErr w:type="spellEnd"/>
      <w:r>
        <w:rPr>
          <w:rFonts w:ascii="Times New Roman" w:hAnsi="Times New Roman" w:cs="Times New Roman"/>
          <w:sz w:val="28"/>
          <w:szCs w:val="28"/>
        </w:rPr>
        <w:t xml:space="preserve"> of the kit reagent and 250 </w:t>
      </w:r>
      <w:proofErr w:type="spellStart"/>
      <w:r>
        <w:rPr>
          <w:rFonts w:ascii="Times New Roman" w:hAnsi="Times New Roman" w:cs="Times New Roman"/>
          <w:sz w:val="28"/>
          <w:szCs w:val="28"/>
        </w:rPr>
        <w:t>μL</w:t>
      </w:r>
      <w:proofErr w:type="spellEnd"/>
      <w:r>
        <w:rPr>
          <w:rFonts w:ascii="Times New Roman" w:hAnsi="Times New Roman" w:cs="Times New Roman"/>
          <w:sz w:val="28"/>
          <w:szCs w:val="28"/>
        </w:rPr>
        <w:t xml:space="preserve"> of each sample were </w:t>
      </w:r>
      <w:r>
        <w:rPr>
          <w:rFonts w:ascii="Times New Roman" w:hAnsi="Times New Roman" w:cs="Times New Roman"/>
          <w:sz w:val="28"/>
          <w:szCs w:val="28"/>
        </w:rPr>
        <w:lastRenderedPageBreak/>
        <w:t xml:space="preserve">combined in 96-well plates and incubated in the dark for 5 min at 37℃, after which absorbance at 510 nm was assessed with a spectrophotometer. A BCA kit was used to detect protein concentrations. All analyses were performed in triplicate. </w:t>
      </w:r>
    </w:p>
    <w:p w14:paraId="54DFF43A"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t>TUNEL staining</w:t>
      </w:r>
    </w:p>
    <w:p w14:paraId="2EA92FE3"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A colorimetric TUNEL apoptosis assay kit (</w:t>
      </w:r>
      <w:proofErr w:type="spellStart"/>
      <w:r>
        <w:rPr>
          <w:rFonts w:ascii="Times New Roman" w:hAnsi="Times New Roman" w:cs="Times New Roman"/>
          <w:sz w:val="28"/>
          <w:szCs w:val="28"/>
        </w:rPr>
        <w:t>Beyotime</w:t>
      </w:r>
      <w:proofErr w:type="spellEnd"/>
      <w:r>
        <w:rPr>
          <w:rFonts w:ascii="Times New Roman" w:hAnsi="Times New Roman" w:cs="Times New Roman"/>
          <w:sz w:val="28"/>
          <w:szCs w:val="28"/>
        </w:rPr>
        <w:t xml:space="preserve">) was used as instructed to evaluate apoptotic cell death. After staining samples in the TUNEL reaction mixture, they were rinsed and color development was performed with DAB. Six random fields were assessed to count the number of TUNEL-positive cells, with apoptotic indices for each field being computed as the percentage of TUNEL-positive cells to total cells. </w:t>
      </w:r>
    </w:p>
    <w:p w14:paraId="2B9ED0A3"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t>Apoptosis analyses</w:t>
      </w:r>
    </w:p>
    <w:p w14:paraId="06B6C766"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A FITC Annexin V Apoptosis Detection Kit (</w:t>
      </w:r>
      <w:proofErr w:type="spellStart"/>
      <w:r>
        <w:rPr>
          <w:rFonts w:ascii="Times New Roman" w:hAnsi="Times New Roman" w:cs="Times New Roman"/>
          <w:sz w:val="28"/>
          <w:szCs w:val="28"/>
        </w:rPr>
        <w:t>Beyotime</w:t>
      </w:r>
      <w:proofErr w:type="spellEnd"/>
      <w:r>
        <w:rPr>
          <w:rFonts w:ascii="Times New Roman" w:hAnsi="Times New Roman" w:cs="Times New Roman"/>
          <w:sz w:val="28"/>
          <w:szCs w:val="28"/>
        </w:rPr>
        <w:t>) was utilized as instructed to quantify apoptotic cell death with a flow cytometer (</w:t>
      </w:r>
      <w:proofErr w:type="spellStart"/>
      <w:r>
        <w:rPr>
          <w:rFonts w:ascii="Times New Roman" w:hAnsi="Times New Roman" w:cs="Times New Roman"/>
          <w:sz w:val="28"/>
          <w:szCs w:val="28"/>
        </w:rPr>
        <w:t>FACSCalibur</w:t>
      </w:r>
      <w:proofErr w:type="spellEnd"/>
      <w:r>
        <w:rPr>
          <w:rFonts w:ascii="Times New Roman" w:hAnsi="Times New Roman" w:cs="Times New Roman"/>
          <w:sz w:val="28"/>
          <w:szCs w:val="28"/>
        </w:rPr>
        <w:t>).</w:t>
      </w:r>
    </w:p>
    <w:p w14:paraId="2D0C40CA"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t>Western immunoblotting</w:t>
      </w:r>
    </w:p>
    <w:p w14:paraId="4A1E49B8" w14:textId="73CF96E3"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RIPA buffer with protease inhibitors was used to prepare cell lysates, which were separated via 10-12.5% SDS-PAGE and transferred onto 0.45 </w:t>
      </w:r>
      <w:proofErr w:type="spellStart"/>
      <w:r>
        <w:rPr>
          <w:rFonts w:ascii="Times New Roman" w:hAnsi="Times New Roman" w:cs="Times New Roman"/>
          <w:sz w:val="28"/>
          <w:szCs w:val="28"/>
        </w:rPr>
        <w:t>μM</w:t>
      </w:r>
      <w:proofErr w:type="spellEnd"/>
      <w:r>
        <w:rPr>
          <w:rFonts w:ascii="Times New Roman" w:hAnsi="Times New Roman" w:cs="Times New Roman"/>
          <w:sz w:val="28"/>
          <w:szCs w:val="28"/>
        </w:rPr>
        <w:t xml:space="preserve"> PVDF membranes. Blots were probed with the following primary antibodies (all from </w:t>
      </w:r>
      <w:proofErr w:type="spellStart"/>
      <w:r>
        <w:rPr>
          <w:rFonts w:ascii="Times New Roman" w:hAnsi="Times New Roman" w:cs="Times New Roman"/>
          <w:sz w:val="28"/>
          <w:szCs w:val="28"/>
        </w:rPr>
        <w:t>abcam</w:t>
      </w:r>
      <w:proofErr w:type="spellEnd"/>
      <w:r>
        <w:rPr>
          <w:rFonts w:ascii="Times New Roman" w:hAnsi="Times New Roman" w:cs="Times New Roman"/>
          <w:sz w:val="28"/>
          <w:szCs w:val="28"/>
        </w:rPr>
        <w:t xml:space="preserve"> and diluted 1:1000 unless otherwise indicated): TRIB3 (1:10000, ab75846), PLIN2 (1:5000, ab108323), PLIN3 (ab47638), β-tubulin (ab6046), GAPDH (1:5000, ab8245), IRE1 alpha (p-Ser724) </w:t>
      </w:r>
      <w:r>
        <w:rPr>
          <w:rFonts w:ascii="Times New Roman" w:hAnsi="Times New Roman" w:cs="Times New Roman"/>
          <w:sz w:val="28"/>
          <w:szCs w:val="28"/>
        </w:rPr>
        <w:lastRenderedPageBreak/>
        <w:t xml:space="preserve">(ab308387), IRE1 alpha (3294S, CST), ATF6 (ab83504), BIP (ab21685), PERK (ab229912), XBP1 (ab220783), CHOP (5554S, CST), Cleaved Caspase 3 (1:500, ab32042), TEB4 (PA5-103816, </w:t>
      </w:r>
      <w:proofErr w:type="spellStart"/>
      <w:r>
        <w:rPr>
          <w:rFonts w:ascii="Times New Roman" w:hAnsi="Times New Roman" w:cs="Times New Roman"/>
          <w:sz w:val="28"/>
          <w:szCs w:val="28"/>
        </w:rPr>
        <w:t>ThermoFisher</w:t>
      </w:r>
      <w:proofErr w:type="spellEnd"/>
      <w:r>
        <w:rPr>
          <w:rFonts w:ascii="Times New Roman" w:hAnsi="Times New Roman" w:cs="Times New Roman"/>
          <w:sz w:val="28"/>
          <w:szCs w:val="28"/>
        </w:rPr>
        <w:t xml:space="preserve">), AIP4 (ab108515), UBR1 (1:5000, ab108215), </w:t>
      </w:r>
      <w:r w:rsidR="0038252D" w:rsidRPr="0008226C">
        <w:rPr>
          <w:rFonts w:ascii="Times New Roman" w:hAnsi="Times New Roman" w:cs="Times New Roman"/>
          <w:sz w:val="28"/>
          <w:szCs w:val="28"/>
        </w:rPr>
        <w:t xml:space="preserve">VHL (1:1000, ab270968), </w:t>
      </w:r>
      <w:proofErr w:type="spellStart"/>
      <w:r w:rsidRPr="0008226C">
        <w:rPr>
          <w:rFonts w:ascii="Times New Roman" w:hAnsi="Times New Roman" w:cs="Times New Roman"/>
          <w:sz w:val="28"/>
          <w:szCs w:val="28"/>
        </w:rPr>
        <w:t>lg</w:t>
      </w:r>
      <w:r>
        <w:rPr>
          <w:rFonts w:ascii="Times New Roman" w:hAnsi="Times New Roman" w:cs="Times New Roman"/>
          <w:sz w:val="28"/>
          <w:szCs w:val="28"/>
        </w:rPr>
        <w:t>G</w:t>
      </w:r>
      <w:proofErr w:type="spellEnd"/>
      <w:r>
        <w:rPr>
          <w:rFonts w:ascii="Times New Roman" w:hAnsi="Times New Roman" w:cs="Times New Roman"/>
          <w:sz w:val="28"/>
          <w:szCs w:val="28"/>
        </w:rPr>
        <w:t xml:space="preserve"> (ab109489), Flag tag (ab205606), </w:t>
      </w:r>
      <w:proofErr w:type="spellStart"/>
      <w:r>
        <w:rPr>
          <w:rFonts w:ascii="Times New Roman" w:hAnsi="Times New Roman" w:cs="Times New Roman"/>
          <w:sz w:val="28"/>
          <w:szCs w:val="28"/>
        </w:rPr>
        <w:t>Myc</w:t>
      </w:r>
      <w:proofErr w:type="spellEnd"/>
      <w:r>
        <w:rPr>
          <w:rFonts w:ascii="Times New Roman" w:hAnsi="Times New Roman" w:cs="Times New Roman"/>
          <w:sz w:val="28"/>
          <w:szCs w:val="28"/>
        </w:rPr>
        <w:t xml:space="preserve"> tag (1:800, ab32), His tag (1:5000, ab18184), and HA tag (ab236632). HRP-linked secondary antibodies (1:5000, ab288151/ab97040, </w:t>
      </w:r>
      <w:proofErr w:type="spellStart"/>
      <w:r>
        <w:rPr>
          <w:rFonts w:ascii="Times New Roman" w:hAnsi="Times New Roman" w:cs="Times New Roman"/>
          <w:sz w:val="28"/>
          <w:szCs w:val="28"/>
        </w:rPr>
        <w:t>abcam</w:t>
      </w:r>
      <w:proofErr w:type="spellEnd"/>
      <w:r>
        <w:rPr>
          <w:rFonts w:ascii="Times New Roman" w:hAnsi="Times New Roman" w:cs="Times New Roman"/>
          <w:sz w:val="28"/>
          <w:szCs w:val="28"/>
        </w:rPr>
        <w:t>) were then used, followed by imaging with ECL-plus Western Blot Detection Reagents.</w:t>
      </w:r>
    </w:p>
    <w:p w14:paraId="29A914D1" w14:textId="77777777" w:rsidR="00902F65" w:rsidRDefault="00902F65" w:rsidP="00902F65">
      <w:pPr>
        <w:rPr>
          <w:rFonts w:ascii="Times New Roman" w:hAnsi="Times New Roman" w:cs="Times New Roman"/>
          <w:b/>
          <w:bCs/>
          <w:sz w:val="28"/>
          <w:szCs w:val="28"/>
        </w:rPr>
      </w:pPr>
      <w:r>
        <w:rPr>
          <w:rFonts w:ascii="Times New Roman" w:hAnsi="Times New Roman" w:cs="Times New Roman"/>
          <w:b/>
          <w:bCs/>
          <w:sz w:val="28"/>
          <w:szCs w:val="28"/>
        </w:rPr>
        <w:t xml:space="preserve">Co-immunoprecipitation (Co-IP) </w:t>
      </w:r>
    </w:p>
    <w:p w14:paraId="569050E5" w14:textId="77777777" w:rsidR="00902F65" w:rsidRDefault="00902F65" w:rsidP="00902F65">
      <w:pPr>
        <w:rPr>
          <w:rFonts w:ascii="Times New Roman" w:hAnsi="Times New Roman" w:cs="Times New Roman"/>
          <w:sz w:val="28"/>
          <w:szCs w:val="28"/>
        </w:rPr>
      </w:pPr>
      <w:r>
        <w:rPr>
          <w:rFonts w:ascii="Times New Roman" w:hAnsi="Times New Roman" w:cs="Times New Roman"/>
          <w:sz w:val="28"/>
          <w:szCs w:val="28"/>
        </w:rPr>
        <w:t xml:space="preserve">NP-40 lysis buffer with protease inhibitors was used to lyse cells, after which these lysates were pre-cleared for 2 h with rabbit IgG and immunoprecipitated overnight with appropriate antibodies at 4℃. Protein A/G PLUS-Agarose beads (Santa Cruz) were then added and incubated for 2 h at 4℃, followed by three additional washes with lysis buffer and SDS-PAGE separation. Immunoblotting was then performed as above. </w:t>
      </w:r>
    </w:p>
    <w:p w14:paraId="06BBDFE2" w14:textId="1208F4E9" w:rsidR="00234B89" w:rsidRDefault="00234B89" w:rsidP="00234B89">
      <w:pPr>
        <w:rPr>
          <w:rFonts w:ascii="Times New Roman" w:hAnsi="Times New Roman" w:cs="Times New Roman"/>
          <w:b/>
          <w:bCs/>
          <w:sz w:val="28"/>
          <w:szCs w:val="28"/>
        </w:rPr>
      </w:pPr>
      <w:r>
        <w:rPr>
          <w:rFonts w:ascii="Times New Roman" w:hAnsi="Times New Roman" w:cs="Times New Roman" w:hint="eastAsia"/>
          <w:b/>
          <w:bCs/>
          <w:sz w:val="28"/>
          <w:szCs w:val="28"/>
        </w:rPr>
        <w:t>I</w:t>
      </w:r>
      <w:r>
        <w:rPr>
          <w:rFonts w:ascii="Times New Roman" w:hAnsi="Times New Roman" w:cs="Times New Roman"/>
          <w:b/>
          <w:bCs/>
          <w:sz w:val="28"/>
          <w:szCs w:val="28"/>
        </w:rPr>
        <w:t>mmunofluorescent imaging</w:t>
      </w:r>
    </w:p>
    <w:p w14:paraId="7088849D" w14:textId="77777777" w:rsidR="00234B89" w:rsidRDefault="00234B89" w:rsidP="00234B89">
      <w:pPr>
        <w:rPr>
          <w:rFonts w:ascii="Times New Roman" w:hAnsi="Times New Roman" w:cs="Times New Roman"/>
          <w:sz w:val="28"/>
          <w:szCs w:val="28"/>
        </w:rPr>
      </w:pPr>
      <w:r>
        <w:rPr>
          <w:rFonts w:ascii="Times New Roman" w:hAnsi="Times New Roman" w:cs="Times New Roman"/>
          <w:sz w:val="28"/>
          <w:szCs w:val="28"/>
        </w:rPr>
        <w:t xml:space="preserve">RCC cells were cultured on coverslips, fixed for 20 min with 4% PFA, permeabilized for 15 min with 0.1% Triton X-100, rinsed twice with PBS, blocked for 30 min at 37℃ using 5% BSA, and probed overnight with primary antibodies at 4℃. Cells were then rinsed using PBS and incubated for 1 h at 37℃ with appropriate secondary antibodies. DAPI-containing parafilm was then used to seal cells, which were subjected to fluorescent </w:t>
      </w:r>
      <w:r>
        <w:rPr>
          <w:rFonts w:ascii="Times New Roman" w:hAnsi="Times New Roman" w:cs="Times New Roman"/>
          <w:sz w:val="28"/>
          <w:szCs w:val="28"/>
        </w:rPr>
        <w:lastRenderedPageBreak/>
        <w:t xml:space="preserve">imaging with a confocal microscope. </w:t>
      </w:r>
    </w:p>
    <w:p w14:paraId="6A77887C" w14:textId="77777777" w:rsidR="00234B89" w:rsidRPr="00234B89" w:rsidRDefault="00234B89" w:rsidP="00902F65">
      <w:pPr>
        <w:rPr>
          <w:rFonts w:ascii="Times New Roman" w:hAnsi="Times New Roman" w:cs="Times New Roman"/>
          <w:sz w:val="28"/>
          <w:szCs w:val="28"/>
        </w:rPr>
      </w:pPr>
    </w:p>
    <w:sectPr w:rsidR="00234B89" w:rsidRPr="00234B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F8B5" w14:textId="77777777" w:rsidR="004F4DF3" w:rsidRDefault="004F4DF3" w:rsidP="00CF00CC">
      <w:r>
        <w:separator/>
      </w:r>
    </w:p>
  </w:endnote>
  <w:endnote w:type="continuationSeparator" w:id="0">
    <w:p w14:paraId="6E23C3E0" w14:textId="77777777" w:rsidR="004F4DF3" w:rsidRDefault="004F4DF3" w:rsidP="00CF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6136D" w14:textId="77777777" w:rsidR="004F4DF3" w:rsidRDefault="004F4DF3" w:rsidP="00CF00CC">
      <w:r>
        <w:separator/>
      </w:r>
    </w:p>
  </w:footnote>
  <w:footnote w:type="continuationSeparator" w:id="0">
    <w:p w14:paraId="476C4EBC" w14:textId="77777777" w:rsidR="004F4DF3" w:rsidRDefault="004F4DF3" w:rsidP="00CF0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13BD"/>
    <w:multiLevelType w:val="hybridMultilevel"/>
    <w:tmpl w:val="5A1C7DC8"/>
    <w:lvl w:ilvl="0" w:tplc="6A9C83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7581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0F"/>
    <w:rsid w:val="00033D3E"/>
    <w:rsid w:val="0008226C"/>
    <w:rsid w:val="0012387A"/>
    <w:rsid w:val="002331FE"/>
    <w:rsid w:val="00234B89"/>
    <w:rsid w:val="00260010"/>
    <w:rsid w:val="00350A56"/>
    <w:rsid w:val="0038252D"/>
    <w:rsid w:val="003964BC"/>
    <w:rsid w:val="00420DF4"/>
    <w:rsid w:val="00435A9D"/>
    <w:rsid w:val="004C05B2"/>
    <w:rsid w:val="004F4DF3"/>
    <w:rsid w:val="0054148B"/>
    <w:rsid w:val="005920AC"/>
    <w:rsid w:val="00672283"/>
    <w:rsid w:val="00732552"/>
    <w:rsid w:val="007777ED"/>
    <w:rsid w:val="00813D53"/>
    <w:rsid w:val="0084039F"/>
    <w:rsid w:val="00875AE1"/>
    <w:rsid w:val="00902F65"/>
    <w:rsid w:val="00AA3DDB"/>
    <w:rsid w:val="00B2124A"/>
    <w:rsid w:val="00C62A0F"/>
    <w:rsid w:val="00CB1354"/>
    <w:rsid w:val="00CF00CC"/>
    <w:rsid w:val="00DA7D06"/>
    <w:rsid w:val="00DF1630"/>
    <w:rsid w:val="00E8439D"/>
    <w:rsid w:val="00EF1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EBD62"/>
  <w15:chartTrackingRefBased/>
  <w15:docId w15:val="{4AF3616C-A546-4756-9F40-A13AFF60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A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0AC"/>
    <w:rPr>
      <w:color w:val="0563C1" w:themeColor="hyperlink"/>
      <w:u w:val="single"/>
    </w:rPr>
  </w:style>
  <w:style w:type="paragraph" w:styleId="a4">
    <w:name w:val="annotation text"/>
    <w:basedOn w:val="a"/>
    <w:link w:val="a5"/>
    <w:uiPriority w:val="99"/>
    <w:semiHidden/>
    <w:unhideWhenUsed/>
    <w:qFormat/>
    <w:rsid w:val="005920AC"/>
    <w:rPr>
      <w:sz w:val="20"/>
      <w:szCs w:val="20"/>
    </w:rPr>
  </w:style>
  <w:style w:type="character" w:customStyle="1" w:styleId="a5">
    <w:name w:val="批注文字 字符"/>
    <w:basedOn w:val="a0"/>
    <w:link w:val="a4"/>
    <w:uiPriority w:val="99"/>
    <w:semiHidden/>
    <w:rsid w:val="005920AC"/>
    <w:rPr>
      <w:sz w:val="20"/>
      <w:szCs w:val="20"/>
    </w:rPr>
  </w:style>
  <w:style w:type="paragraph" w:styleId="a6">
    <w:name w:val="header"/>
    <w:basedOn w:val="a"/>
    <w:link w:val="a7"/>
    <w:uiPriority w:val="99"/>
    <w:unhideWhenUsed/>
    <w:rsid w:val="00CF00C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F00CC"/>
    <w:rPr>
      <w:sz w:val="18"/>
      <w:szCs w:val="18"/>
    </w:rPr>
  </w:style>
  <w:style w:type="paragraph" w:styleId="a8">
    <w:name w:val="footer"/>
    <w:basedOn w:val="a"/>
    <w:link w:val="a9"/>
    <w:uiPriority w:val="99"/>
    <w:unhideWhenUsed/>
    <w:rsid w:val="00CF00CC"/>
    <w:pPr>
      <w:tabs>
        <w:tab w:val="center" w:pos="4153"/>
        <w:tab w:val="right" w:pos="8306"/>
      </w:tabs>
      <w:snapToGrid w:val="0"/>
      <w:jc w:val="left"/>
    </w:pPr>
    <w:rPr>
      <w:sz w:val="18"/>
      <w:szCs w:val="18"/>
    </w:rPr>
  </w:style>
  <w:style w:type="character" w:customStyle="1" w:styleId="a9">
    <w:name w:val="页脚 字符"/>
    <w:basedOn w:val="a0"/>
    <w:link w:val="a8"/>
    <w:uiPriority w:val="99"/>
    <w:rsid w:val="00CF00CC"/>
    <w:rPr>
      <w:sz w:val="18"/>
      <w:szCs w:val="18"/>
    </w:rPr>
  </w:style>
  <w:style w:type="paragraph" w:styleId="aa">
    <w:name w:val="List Paragraph"/>
    <w:basedOn w:val="a"/>
    <w:uiPriority w:val="34"/>
    <w:qFormat/>
    <w:rsid w:val="00CF00C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09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1024</Words>
  <Characters>5840</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2024-03-17T15:41:00Z</dcterms:created>
  <dcterms:modified xsi:type="dcterms:W3CDTF">2024-03-17T15:41:00Z</dcterms:modified>
</cp:coreProperties>
</file>