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AC74F2" w14:textId="50F2628B" w:rsidR="00813A98" w:rsidRPr="0030237B" w:rsidRDefault="00813A98" w:rsidP="00813A98">
      <w:pPr>
        <w:spacing w:after="120" w:line="480" w:lineRule="auto"/>
        <w:jc w:val="both"/>
        <w:rPr>
          <w:rFonts w:ascii="Verdana" w:hAnsi="Verdana"/>
          <w:b/>
          <w:bCs/>
          <w:color w:val="C00000"/>
        </w:rPr>
      </w:pPr>
      <w:r w:rsidRPr="0030237B">
        <w:rPr>
          <w:rFonts w:ascii="Verdana" w:hAnsi="Verdana"/>
          <w:b/>
          <w:bCs/>
          <w:color w:val="C00000"/>
        </w:rPr>
        <w:t xml:space="preserve">Supplementary figures </w:t>
      </w:r>
      <w:r w:rsidR="006C2C32">
        <w:rPr>
          <w:rFonts w:ascii="Verdana" w:hAnsi="Verdana"/>
          <w:b/>
          <w:bCs/>
          <w:color w:val="C00000"/>
        </w:rPr>
        <w:t xml:space="preserve">and Data files </w:t>
      </w:r>
      <w:r w:rsidRPr="0030237B">
        <w:rPr>
          <w:rFonts w:ascii="Verdana" w:hAnsi="Verdana"/>
          <w:b/>
          <w:bCs/>
          <w:color w:val="C00000"/>
        </w:rPr>
        <w:t>legends</w:t>
      </w:r>
    </w:p>
    <w:p w14:paraId="020F5563" w14:textId="77777777" w:rsidR="00813A98" w:rsidRPr="0030237B" w:rsidRDefault="00813A98" w:rsidP="00813A98">
      <w:pPr>
        <w:spacing w:after="120" w:line="480" w:lineRule="auto"/>
        <w:jc w:val="both"/>
        <w:rPr>
          <w:rFonts w:ascii="Verdana" w:hAnsi="Verdana"/>
          <w:b/>
          <w:bCs/>
        </w:rPr>
      </w:pPr>
      <w:r w:rsidRPr="0030237B">
        <w:rPr>
          <w:rFonts w:ascii="Verdana" w:hAnsi="Verdana"/>
          <w:b/>
          <w:bCs/>
          <w:color w:val="C00000"/>
        </w:rPr>
        <w:t>Supplementary fig. 1</w:t>
      </w:r>
      <w:r w:rsidRPr="0030237B">
        <w:rPr>
          <w:rFonts w:ascii="Verdana" w:hAnsi="Verdana"/>
          <w:b/>
          <w:bCs/>
        </w:rPr>
        <w:t xml:space="preserve"> | Validation of </w:t>
      </w:r>
      <w:r w:rsidRPr="0030237B">
        <w:rPr>
          <w:rFonts w:ascii="Verdana" w:hAnsi="Verdana"/>
          <w:b/>
          <w:bCs/>
          <w:i/>
          <w:iCs/>
        </w:rPr>
        <w:t>Id2</w:t>
      </w:r>
      <w:r w:rsidRPr="0030237B">
        <w:rPr>
          <w:rFonts w:ascii="Verdana" w:hAnsi="Verdana"/>
          <w:b/>
          <w:bCs/>
        </w:rPr>
        <w:t xml:space="preserve"> and </w:t>
      </w:r>
      <w:r w:rsidRPr="0030237B">
        <w:rPr>
          <w:rFonts w:ascii="Verdana" w:hAnsi="Verdana"/>
          <w:b/>
          <w:bCs/>
          <w:i/>
          <w:iCs/>
        </w:rPr>
        <w:t>Ets2</w:t>
      </w:r>
      <w:r w:rsidRPr="0030237B">
        <w:rPr>
          <w:rFonts w:ascii="Verdana" w:hAnsi="Verdana"/>
          <w:b/>
          <w:bCs/>
        </w:rPr>
        <w:t xml:space="preserve"> gene silencing by small interfering RNA pools.</w:t>
      </w:r>
    </w:p>
    <w:p w14:paraId="214B78E7" w14:textId="77777777" w:rsidR="00813A98" w:rsidRPr="0030237B" w:rsidRDefault="00813A98" w:rsidP="00813A98">
      <w:pPr>
        <w:spacing w:after="120" w:line="480" w:lineRule="auto"/>
        <w:jc w:val="both"/>
        <w:rPr>
          <w:rFonts w:ascii="Verdana" w:hAnsi="Verdana"/>
        </w:rPr>
      </w:pPr>
      <w:r w:rsidRPr="0030237B">
        <w:rPr>
          <w:rFonts w:ascii="Verdana" w:hAnsi="Verdana"/>
          <w:i/>
          <w:iCs/>
        </w:rPr>
        <w:t>Id2</w:t>
      </w:r>
      <w:r w:rsidRPr="0030237B">
        <w:rPr>
          <w:rFonts w:ascii="Verdana" w:hAnsi="Verdana"/>
        </w:rPr>
        <w:t xml:space="preserve"> (</w:t>
      </w:r>
      <w:r w:rsidRPr="0030237B">
        <w:rPr>
          <w:rFonts w:ascii="Verdana" w:hAnsi="Verdana"/>
          <w:b/>
          <w:bCs/>
        </w:rPr>
        <w:t>A</w:t>
      </w:r>
      <w:r w:rsidRPr="0030237B">
        <w:rPr>
          <w:rFonts w:ascii="Verdana" w:hAnsi="Verdana"/>
        </w:rPr>
        <w:t xml:space="preserve">), </w:t>
      </w:r>
      <w:r w:rsidRPr="0030237B">
        <w:rPr>
          <w:rFonts w:ascii="Verdana" w:hAnsi="Verdana"/>
          <w:i/>
          <w:iCs/>
        </w:rPr>
        <w:t>Id1</w:t>
      </w:r>
      <w:r w:rsidRPr="0030237B">
        <w:rPr>
          <w:rFonts w:ascii="Verdana" w:hAnsi="Verdana"/>
        </w:rPr>
        <w:t xml:space="preserve"> (</w:t>
      </w:r>
      <w:r w:rsidRPr="0030237B">
        <w:rPr>
          <w:rFonts w:ascii="Verdana" w:hAnsi="Verdana"/>
          <w:b/>
          <w:bCs/>
        </w:rPr>
        <w:t>B</w:t>
      </w:r>
      <w:r w:rsidRPr="0030237B">
        <w:rPr>
          <w:rFonts w:ascii="Verdana" w:hAnsi="Verdana"/>
        </w:rPr>
        <w:t xml:space="preserve">) and </w:t>
      </w:r>
      <w:r w:rsidRPr="0030237B">
        <w:rPr>
          <w:rFonts w:ascii="Verdana" w:hAnsi="Verdana"/>
          <w:i/>
          <w:iCs/>
        </w:rPr>
        <w:t>Ets2</w:t>
      </w:r>
      <w:r w:rsidRPr="0030237B">
        <w:rPr>
          <w:rFonts w:ascii="Verdana" w:hAnsi="Verdana"/>
        </w:rPr>
        <w:t xml:space="preserve"> (</w:t>
      </w:r>
      <w:r w:rsidRPr="0030237B">
        <w:rPr>
          <w:rFonts w:ascii="Verdana" w:hAnsi="Verdana"/>
          <w:b/>
          <w:bCs/>
        </w:rPr>
        <w:t>C</w:t>
      </w:r>
      <w:r w:rsidRPr="0030237B">
        <w:rPr>
          <w:rFonts w:ascii="Verdana" w:hAnsi="Verdana"/>
        </w:rPr>
        <w:t xml:space="preserve">) </w:t>
      </w:r>
      <w:r w:rsidRPr="0030237B">
        <w:rPr>
          <w:rFonts w:ascii="Verdana" w:hAnsi="Verdana"/>
          <w:color w:val="333333"/>
          <w:shd w:val="clear" w:color="auto" w:fill="FFFFFF"/>
        </w:rPr>
        <w:t xml:space="preserve">mRNA expression measured by RT-qPCR in BV2 microglia transfected with siRNAs pool targeting </w:t>
      </w:r>
      <w:r w:rsidRPr="0030237B">
        <w:rPr>
          <w:rFonts w:ascii="Verdana" w:hAnsi="Verdana"/>
          <w:i/>
          <w:iCs/>
          <w:color w:val="333333"/>
          <w:shd w:val="clear" w:color="auto" w:fill="FFFFFF"/>
        </w:rPr>
        <w:t>Id2</w:t>
      </w:r>
      <w:r w:rsidRPr="0030237B">
        <w:rPr>
          <w:rFonts w:ascii="Verdana" w:hAnsi="Verdana"/>
          <w:color w:val="333333"/>
          <w:shd w:val="clear" w:color="auto" w:fill="FFFFFF"/>
        </w:rPr>
        <w:t xml:space="preserve"> (a and b) or </w:t>
      </w:r>
      <w:r w:rsidRPr="0030237B">
        <w:rPr>
          <w:rFonts w:ascii="Verdana" w:hAnsi="Verdana"/>
          <w:i/>
          <w:iCs/>
          <w:color w:val="333333"/>
          <w:shd w:val="clear" w:color="auto" w:fill="FFFFFF"/>
        </w:rPr>
        <w:t>Ets2</w:t>
      </w:r>
      <w:r w:rsidRPr="0030237B">
        <w:rPr>
          <w:rFonts w:ascii="Verdana" w:hAnsi="Verdana"/>
          <w:color w:val="333333"/>
          <w:shd w:val="clear" w:color="auto" w:fill="FFFFFF"/>
        </w:rPr>
        <w:t xml:space="preserve"> (c) gene expression, for 24 hours as compared to BV2 microglia transfected with control non-targeting siRNAs pool, set as 1. </w:t>
      </w:r>
      <w:r w:rsidRPr="0030237B">
        <w:rPr>
          <w:rFonts w:ascii="Verdana" w:hAnsi="Verdana"/>
          <w:b/>
          <w:bCs/>
          <w:shd w:val="clear" w:color="auto" w:fill="FFFFFF"/>
        </w:rPr>
        <w:t>D</w:t>
      </w:r>
      <w:r w:rsidRPr="0030237B">
        <w:rPr>
          <w:rFonts w:ascii="Verdana" w:hAnsi="Verdana"/>
          <w:shd w:val="clear" w:color="auto" w:fill="FFFFFF"/>
        </w:rPr>
        <w:t xml:space="preserve">) </w:t>
      </w:r>
      <w:r w:rsidRPr="0030237B">
        <w:rPr>
          <w:rFonts w:ascii="Verdana" w:hAnsi="Verdana"/>
        </w:rPr>
        <w:t xml:space="preserve">Immunoblot analysis of ETS2 protein expression in BV2 cells transfected with </w:t>
      </w:r>
      <w:r w:rsidRPr="0030237B">
        <w:rPr>
          <w:rFonts w:ascii="Verdana" w:hAnsi="Verdana"/>
          <w:i/>
          <w:iCs/>
        </w:rPr>
        <w:t>Ets2</w:t>
      </w:r>
      <w:r w:rsidRPr="0030237B">
        <w:rPr>
          <w:rFonts w:ascii="Verdana" w:hAnsi="Verdana"/>
        </w:rPr>
        <w:t xml:space="preserve"> siRNAs pool or with </w:t>
      </w:r>
      <w:r w:rsidRPr="0030237B">
        <w:rPr>
          <w:rFonts w:ascii="Verdana" w:hAnsi="Verdana"/>
          <w:color w:val="333333"/>
          <w:shd w:val="clear" w:color="auto" w:fill="FFFFFF"/>
        </w:rPr>
        <w:t>control non-targeting siRNAs pool</w:t>
      </w:r>
      <w:r w:rsidRPr="0030237B">
        <w:rPr>
          <w:rFonts w:ascii="Verdana" w:hAnsi="Verdana"/>
        </w:rPr>
        <w:t xml:space="preserve">. The expression of ACTB as housekeeping gene was used as loading control. </w:t>
      </w:r>
      <w:r w:rsidRPr="0030237B">
        <w:rPr>
          <w:rFonts w:ascii="Verdana" w:hAnsi="Verdana"/>
          <w:b/>
          <w:bCs/>
        </w:rPr>
        <w:t>E</w:t>
      </w:r>
      <w:r w:rsidRPr="0030237B">
        <w:rPr>
          <w:rFonts w:ascii="Verdana" w:hAnsi="Verdana"/>
        </w:rPr>
        <w:t xml:space="preserve">) Quantification of ETS2 protein expression level, </w:t>
      </w:r>
      <w:r w:rsidRPr="0030237B">
        <w:rPr>
          <w:rFonts w:ascii="Verdana" w:hAnsi="Verdana"/>
          <w:color w:val="333333"/>
          <w:shd w:val="clear" w:color="auto" w:fill="FFFFFF"/>
        </w:rPr>
        <w:t xml:space="preserve">BV2 microglia transfected with control non-targeting siRNAs pool, set as 1. </w:t>
      </w:r>
      <w:r w:rsidRPr="0030237B">
        <w:rPr>
          <w:rFonts w:ascii="Verdana" w:hAnsi="Verdana"/>
          <w:shd w:val="clear" w:color="auto" w:fill="FFFFFF"/>
        </w:rPr>
        <w:t xml:space="preserve">Data are presented as mean ± SEM. </w:t>
      </w:r>
      <w:r w:rsidRPr="0030237B">
        <w:rPr>
          <w:rFonts w:ascii="Verdana" w:hAnsi="Verdana"/>
        </w:rPr>
        <w:t xml:space="preserve">Statistics were performed with a </w:t>
      </w:r>
      <w:proofErr w:type="gramStart"/>
      <w:r w:rsidRPr="0030237B">
        <w:rPr>
          <w:rFonts w:ascii="Verdana" w:hAnsi="Verdana"/>
        </w:rPr>
        <w:t>Student’s</w:t>
      </w:r>
      <w:proofErr w:type="gramEnd"/>
      <w:r w:rsidRPr="0030237B">
        <w:rPr>
          <w:rFonts w:ascii="Verdana" w:hAnsi="Verdana"/>
        </w:rPr>
        <w:t xml:space="preserve"> t-test from 3 independent experiments. P value *</w:t>
      </w:r>
      <w:r w:rsidRPr="0030237B">
        <w:rPr>
          <w:rFonts w:ascii="Arial" w:hAnsi="Arial" w:cs="Arial"/>
        </w:rPr>
        <w:t> </w:t>
      </w:r>
      <w:r w:rsidRPr="0030237B">
        <w:rPr>
          <w:rFonts w:ascii="Verdana" w:hAnsi="Verdana"/>
        </w:rPr>
        <w:t>&lt;</w:t>
      </w:r>
      <w:r w:rsidRPr="0030237B">
        <w:rPr>
          <w:rFonts w:ascii="Arial" w:hAnsi="Arial" w:cs="Arial"/>
        </w:rPr>
        <w:t> </w:t>
      </w:r>
      <w:r w:rsidRPr="0030237B">
        <w:rPr>
          <w:rFonts w:ascii="Verdana" w:hAnsi="Verdana"/>
        </w:rPr>
        <w:t xml:space="preserve">0.05, ** &lt; 0.01, ***&lt;0.001 </w:t>
      </w:r>
      <w:proofErr w:type="spellStart"/>
      <w:r w:rsidRPr="0030237B">
        <w:rPr>
          <w:rFonts w:ascii="Verdana" w:hAnsi="Verdana"/>
        </w:rPr>
        <w:t>n.s</w:t>
      </w:r>
      <w:proofErr w:type="spellEnd"/>
      <w:r w:rsidRPr="0030237B">
        <w:rPr>
          <w:rFonts w:ascii="Verdana" w:hAnsi="Verdana"/>
        </w:rPr>
        <w:t>., not significant for the indicated comparison.</w:t>
      </w:r>
    </w:p>
    <w:p w14:paraId="676A09C3" w14:textId="77777777" w:rsidR="00813A98" w:rsidRPr="0030237B" w:rsidRDefault="00813A98" w:rsidP="00813A98">
      <w:pPr>
        <w:spacing w:after="120" w:line="480" w:lineRule="auto"/>
        <w:jc w:val="both"/>
        <w:rPr>
          <w:rFonts w:ascii="Verdana" w:hAnsi="Verdana"/>
        </w:rPr>
      </w:pPr>
    </w:p>
    <w:p w14:paraId="6A05787F" w14:textId="77777777" w:rsidR="00813A98" w:rsidRPr="0030237B" w:rsidRDefault="00813A98" w:rsidP="00813A98">
      <w:pPr>
        <w:spacing w:after="120" w:line="480" w:lineRule="auto"/>
        <w:jc w:val="both"/>
        <w:rPr>
          <w:rFonts w:ascii="Verdana" w:hAnsi="Verdana"/>
          <w:b/>
          <w:bCs/>
        </w:rPr>
      </w:pPr>
      <w:r w:rsidRPr="0030237B">
        <w:rPr>
          <w:rFonts w:ascii="Verdana" w:hAnsi="Verdana"/>
          <w:b/>
          <w:bCs/>
          <w:color w:val="C00000"/>
        </w:rPr>
        <w:t>Supplementary fig. 2</w:t>
      </w:r>
      <w:r w:rsidRPr="0030237B">
        <w:rPr>
          <w:rFonts w:ascii="Verdana" w:hAnsi="Verdana"/>
          <w:b/>
          <w:bCs/>
        </w:rPr>
        <w:t xml:space="preserve"> | Expression of genes associated to microglia versus bone marrow derived macrophages in the human single-cell RNA-sequencing dataset </w:t>
      </w:r>
      <w:r w:rsidRPr="0030237B">
        <w:rPr>
          <w:rFonts w:ascii="Verdana" w:hAnsi="Verdana"/>
        </w:rPr>
        <w:t>(</w:t>
      </w:r>
      <w:r w:rsidRPr="0030237B">
        <w:rPr>
          <w:rFonts w:ascii="Verdana" w:hAnsi="Verdana"/>
          <w:color w:val="0070C0"/>
        </w:rPr>
        <w:t>GSE182109</w:t>
      </w:r>
      <w:r w:rsidRPr="0030237B">
        <w:rPr>
          <w:rFonts w:ascii="Verdana" w:hAnsi="Verdana"/>
        </w:rPr>
        <w:t>)</w:t>
      </w:r>
      <w:r w:rsidRPr="0030237B">
        <w:rPr>
          <w:rFonts w:ascii="Verdana" w:hAnsi="Verdana"/>
          <w:b/>
          <w:bCs/>
        </w:rPr>
        <w:t>.</w:t>
      </w:r>
    </w:p>
    <w:p w14:paraId="6EEC873C" w14:textId="77777777" w:rsidR="00813A98" w:rsidRPr="0030237B" w:rsidRDefault="00813A98" w:rsidP="00813A98">
      <w:pPr>
        <w:spacing w:after="120" w:line="480" w:lineRule="auto"/>
        <w:jc w:val="both"/>
        <w:rPr>
          <w:rFonts w:ascii="Verdana" w:hAnsi="Verdana" w:cstheme="minorHAnsi"/>
          <w:shd w:val="clear" w:color="auto" w:fill="FFFFFF"/>
        </w:rPr>
      </w:pPr>
      <w:r w:rsidRPr="0030237B">
        <w:rPr>
          <w:rFonts w:ascii="Verdana" w:hAnsi="Verdana"/>
          <w:b/>
          <w:bCs/>
        </w:rPr>
        <w:t>A</w:t>
      </w:r>
      <w:r w:rsidRPr="0030237B">
        <w:rPr>
          <w:rFonts w:ascii="Verdana" w:hAnsi="Verdana"/>
        </w:rPr>
        <w:t>) T-distributed stochastic neighbour embedding (</w:t>
      </w:r>
      <w:proofErr w:type="spellStart"/>
      <w:r w:rsidRPr="0030237B">
        <w:rPr>
          <w:rFonts w:ascii="Verdana" w:hAnsi="Verdana"/>
        </w:rPr>
        <w:t>tSNE</w:t>
      </w:r>
      <w:proofErr w:type="spellEnd"/>
      <w:r w:rsidRPr="0030237B">
        <w:rPr>
          <w:rFonts w:ascii="Verdana" w:hAnsi="Verdana"/>
        </w:rPr>
        <w:t xml:space="preserve">) plot representation of microglia </w:t>
      </w:r>
      <w:r w:rsidRPr="0030237B">
        <w:rPr>
          <w:rFonts w:ascii="Verdana" w:hAnsi="Verdana" w:cstheme="minorHAnsi"/>
          <w:shd w:val="clear" w:color="auto" w:fill="FFFFFF"/>
        </w:rPr>
        <w:t xml:space="preserve">(28,634 cells) </w:t>
      </w:r>
      <w:r w:rsidRPr="0030237B">
        <w:rPr>
          <w:rFonts w:ascii="Verdana" w:hAnsi="Verdana"/>
        </w:rPr>
        <w:t xml:space="preserve">from newly diagnosed GB in combination with the analysis of </w:t>
      </w:r>
      <w:r w:rsidRPr="0030237B">
        <w:rPr>
          <w:rFonts w:ascii="Verdana" w:hAnsi="Verdana"/>
          <w:i/>
          <w:iCs/>
        </w:rPr>
        <w:t xml:space="preserve">MARCO, CD209 </w:t>
      </w:r>
      <w:r w:rsidRPr="0030237B">
        <w:rPr>
          <w:rFonts w:ascii="Verdana" w:hAnsi="Verdana"/>
        </w:rPr>
        <w:t>(BMDM markers), as well as</w:t>
      </w:r>
      <w:r w:rsidRPr="0030237B">
        <w:rPr>
          <w:rFonts w:ascii="Verdana" w:hAnsi="Verdana"/>
          <w:i/>
          <w:iCs/>
        </w:rPr>
        <w:t xml:space="preserve"> P2RY12 and SALL1</w:t>
      </w:r>
      <w:r w:rsidRPr="0030237B">
        <w:rPr>
          <w:rFonts w:ascii="Verdana" w:hAnsi="Verdana"/>
        </w:rPr>
        <w:t xml:space="preserve"> (microglia markers) gene expression. </w:t>
      </w:r>
      <w:r w:rsidRPr="0030237B">
        <w:rPr>
          <w:rFonts w:ascii="Verdana" w:hAnsi="Verdana"/>
          <w:b/>
          <w:bCs/>
        </w:rPr>
        <w:t>B</w:t>
      </w:r>
      <w:r w:rsidRPr="0030237B">
        <w:rPr>
          <w:rFonts w:ascii="Verdana" w:hAnsi="Verdana"/>
        </w:rPr>
        <w:t xml:space="preserve">) Same analysis but only in macrophages </w:t>
      </w:r>
      <w:r w:rsidRPr="0030237B">
        <w:rPr>
          <w:rFonts w:ascii="Verdana" w:hAnsi="Verdana" w:cstheme="minorHAnsi"/>
          <w:shd w:val="clear" w:color="auto" w:fill="FFFFFF"/>
        </w:rPr>
        <w:t>(8,364 cells)</w:t>
      </w:r>
      <w:r w:rsidRPr="0030237B">
        <w:rPr>
          <w:rFonts w:ascii="Verdana" w:hAnsi="Verdana"/>
        </w:rPr>
        <w:t xml:space="preserve"> from newly diagnosed GB.</w:t>
      </w:r>
    </w:p>
    <w:p w14:paraId="030D069B" w14:textId="77777777" w:rsidR="00813A98" w:rsidRPr="0030237B" w:rsidRDefault="00813A98" w:rsidP="00813A98">
      <w:pPr>
        <w:spacing w:after="120" w:line="480" w:lineRule="auto"/>
        <w:jc w:val="both"/>
        <w:rPr>
          <w:rFonts w:ascii="Verdana" w:hAnsi="Verdana"/>
        </w:rPr>
      </w:pPr>
    </w:p>
    <w:p w14:paraId="25C31AE3" w14:textId="77777777" w:rsidR="00813A98" w:rsidRPr="0030237B" w:rsidRDefault="00813A98" w:rsidP="00813A98">
      <w:pPr>
        <w:spacing w:after="120" w:line="480" w:lineRule="auto"/>
        <w:jc w:val="both"/>
        <w:rPr>
          <w:rFonts w:ascii="Verdana" w:hAnsi="Verdana"/>
          <w:b/>
          <w:bCs/>
        </w:rPr>
      </w:pPr>
      <w:r w:rsidRPr="0030237B">
        <w:rPr>
          <w:rFonts w:ascii="Verdana" w:hAnsi="Verdana"/>
          <w:b/>
          <w:bCs/>
          <w:color w:val="C00000"/>
        </w:rPr>
        <w:lastRenderedPageBreak/>
        <w:t>Supplementary fig. 3</w:t>
      </w:r>
      <w:r w:rsidRPr="0030237B">
        <w:rPr>
          <w:rFonts w:ascii="Verdana" w:hAnsi="Verdana"/>
          <w:b/>
          <w:bCs/>
        </w:rPr>
        <w:t xml:space="preserve"> | Expression of genes associated to microglial tumour-supportive functions in the human single-cell RNA-sequencing dataset </w:t>
      </w:r>
      <w:r w:rsidRPr="0030237B">
        <w:rPr>
          <w:rFonts w:ascii="Verdana" w:hAnsi="Verdana"/>
        </w:rPr>
        <w:t>(</w:t>
      </w:r>
      <w:r w:rsidRPr="0030237B">
        <w:rPr>
          <w:rFonts w:ascii="Verdana" w:hAnsi="Verdana"/>
          <w:color w:val="0070C0"/>
        </w:rPr>
        <w:t>GSE182109</w:t>
      </w:r>
      <w:r w:rsidRPr="0030237B">
        <w:rPr>
          <w:rFonts w:ascii="Verdana" w:hAnsi="Verdana"/>
        </w:rPr>
        <w:t>)</w:t>
      </w:r>
      <w:r w:rsidRPr="0030237B">
        <w:rPr>
          <w:rFonts w:ascii="Verdana" w:hAnsi="Verdana"/>
          <w:b/>
          <w:bCs/>
        </w:rPr>
        <w:t>.</w:t>
      </w:r>
    </w:p>
    <w:p w14:paraId="48EB413F" w14:textId="77777777" w:rsidR="00813A98" w:rsidRPr="0030237B" w:rsidRDefault="00813A98" w:rsidP="00813A98">
      <w:pPr>
        <w:spacing w:after="120" w:line="480" w:lineRule="auto"/>
        <w:jc w:val="both"/>
        <w:rPr>
          <w:rFonts w:ascii="Verdana" w:hAnsi="Verdana"/>
        </w:rPr>
      </w:pPr>
      <w:r w:rsidRPr="0030237B">
        <w:rPr>
          <w:rFonts w:ascii="Verdana" w:hAnsi="Verdana"/>
          <w:b/>
          <w:bCs/>
        </w:rPr>
        <w:t>A</w:t>
      </w:r>
      <w:r w:rsidRPr="0030237B">
        <w:rPr>
          <w:rFonts w:ascii="Verdana" w:hAnsi="Verdana"/>
        </w:rPr>
        <w:t>) T-distributed stochastic neighbour embedding (</w:t>
      </w:r>
      <w:proofErr w:type="spellStart"/>
      <w:r w:rsidRPr="0030237B">
        <w:rPr>
          <w:rFonts w:ascii="Verdana" w:hAnsi="Verdana"/>
        </w:rPr>
        <w:t>tSNE</w:t>
      </w:r>
      <w:proofErr w:type="spellEnd"/>
      <w:r w:rsidRPr="0030237B">
        <w:rPr>
          <w:rFonts w:ascii="Verdana" w:hAnsi="Verdana"/>
        </w:rPr>
        <w:t xml:space="preserve">) plot representation of neoplastic cells </w:t>
      </w:r>
      <w:r w:rsidRPr="0030237B">
        <w:rPr>
          <w:rFonts w:ascii="Verdana" w:hAnsi="Verdana" w:cstheme="minorHAnsi"/>
          <w:shd w:val="clear" w:color="auto" w:fill="FFFFFF"/>
        </w:rPr>
        <w:t xml:space="preserve">(40,019 cells) </w:t>
      </w:r>
      <w:r w:rsidRPr="0030237B">
        <w:rPr>
          <w:rFonts w:ascii="Verdana" w:hAnsi="Verdana"/>
        </w:rPr>
        <w:t xml:space="preserve">from newly diagnosed GB in combination with the analysis of </w:t>
      </w:r>
      <w:r w:rsidRPr="0030237B">
        <w:rPr>
          <w:rFonts w:ascii="Verdana" w:hAnsi="Verdana" w:cstheme="minorHAnsi"/>
          <w:color w:val="212121"/>
          <w:shd w:val="clear" w:color="auto" w:fill="FFFFFF"/>
        </w:rPr>
        <w:t>expression of genes that have been associated to the activation of microglia (</w:t>
      </w:r>
      <w:r w:rsidRPr="0030237B">
        <w:rPr>
          <w:rFonts w:ascii="Verdana" w:hAnsi="Verdana" w:cstheme="minorHAnsi"/>
          <w:i/>
          <w:iCs/>
          <w:color w:val="212121"/>
          <w:shd w:val="clear" w:color="auto" w:fill="FFFFFF"/>
        </w:rPr>
        <w:t>CCL2</w:t>
      </w:r>
      <w:r w:rsidRPr="0030237B">
        <w:rPr>
          <w:rFonts w:ascii="Verdana" w:hAnsi="Verdana" w:cstheme="minorHAnsi"/>
          <w:color w:val="212121"/>
          <w:shd w:val="clear" w:color="auto" w:fill="FFFFFF"/>
        </w:rPr>
        <w:t xml:space="preserve">, </w:t>
      </w:r>
      <w:r w:rsidRPr="0030237B">
        <w:rPr>
          <w:rFonts w:ascii="Verdana" w:hAnsi="Verdana" w:cstheme="minorHAnsi"/>
          <w:i/>
          <w:iCs/>
          <w:color w:val="212121"/>
          <w:shd w:val="clear" w:color="auto" w:fill="FFFFFF"/>
        </w:rPr>
        <w:t>CSF1</w:t>
      </w:r>
      <w:r w:rsidRPr="0030237B">
        <w:rPr>
          <w:rFonts w:ascii="Verdana" w:hAnsi="Verdana" w:cstheme="minorHAnsi"/>
          <w:color w:val="212121"/>
          <w:shd w:val="clear" w:color="auto" w:fill="FFFFFF"/>
        </w:rPr>
        <w:t xml:space="preserve">, </w:t>
      </w:r>
      <w:r w:rsidRPr="0030237B">
        <w:rPr>
          <w:rFonts w:ascii="Verdana" w:hAnsi="Verdana" w:cstheme="minorHAnsi"/>
          <w:i/>
          <w:iCs/>
          <w:color w:val="212121"/>
          <w:shd w:val="clear" w:color="auto" w:fill="FFFFFF"/>
        </w:rPr>
        <w:t>CX3CL1</w:t>
      </w:r>
      <w:r w:rsidRPr="0030237B">
        <w:rPr>
          <w:rFonts w:ascii="Verdana" w:hAnsi="Verdana" w:cstheme="minorHAnsi"/>
          <w:color w:val="212121"/>
          <w:shd w:val="clear" w:color="auto" w:fill="FFFFFF"/>
        </w:rPr>
        <w:t xml:space="preserve">, </w:t>
      </w:r>
      <w:r w:rsidRPr="0030237B">
        <w:rPr>
          <w:rFonts w:ascii="Verdana" w:hAnsi="Verdana" w:cstheme="minorHAnsi"/>
          <w:i/>
          <w:iCs/>
          <w:color w:val="212121"/>
          <w:shd w:val="clear" w:color="auto" w:fill="FFFFFF"/>
        </w:rPr>
        <w:t>CXCL12</w:t>
      </w:r>
      <w:r w:rsidRPr="0030237B">
        <w:rPr>
          <w:rFonts w:ascii="Verdana" w:hAnsi="Verdana" w:cstheme="minorHAnsi"/>
          <w:color w:val="212121"/>
          <w:shd w:val="clear" w:color="auto" w:fill="FFFFFF"/>
        </w:rPr>
        <w:t xml:space="preserve">, </w:t>
      </w:r>
      <w:r w:rsidRPr="0030237B">
        <w:rPr>
          <w:rFonts w:ascii="Verdana" w:hAnsi="Verdana" w:cstheme="minorHAnsi"/>
          <w:i/>
          <w:iCs/>
          <w:color w:val="212121"/>
          <w:shd w:val="clear" w:color="auto" w:fill="FFFFFF"/>
        </w:rPr>
        <w:t>CXCL16</w:t>
      </w:r>
      <w:r w:rsidRPr="0030237B">
        <w:rPr>
          <w:rFonts w:ascii="Verdana" w:hAnsi="Verdana" w:cstheme="minorHAnsi"/>
          <w:color w:val="212121"/>
          <w:shd w:val="clear" w:color="auto" w:fill="FFFFFF"/>
        </w:rPr>
        <w:t xml:space="preserve">, and </w:t>
      </w:r>
      <w:r w:rsidRPr="0030237B">
        <w:rPr>
          <w:rFonts w:ascii="Verdana" w:hAnsi="Verdana" w:cstheme="minorHAnsi"/>
          <w:i/>
          <w:iCs/>
          <w:color w:val="212121"/>
          <w:shd w:val="clear" w:color="auto" w:fill="FFFFFF"/>
        </w:rPr>
        <w:t>GDNF</w:t>
      </w:r>
      <w:r w:rsidRPr="0030237B">
        <w:rPr>
          <w:rFonts w:ascii="Verdana" w:hAnsi="Verdana" w:cstheme="minorHAnsi"/>
          <w:color w:val="212121"/>
          <w:shd w:val="clear" w:color="auto" w:fill="FFFFFF"/>
        </w:rPr>
        <w:t>)</w:t>
      </w:r>
      <w:r w:rsidRPr="0030237B">
        <w:rPr>
          <w:rFonts w:ascii="Verdana" w:hAnsi="Verdana"/>
        </w:rPr>
        <w:t xml:space="preserve">. </w:t>
      </w:r>
      <w:r w:rsidRPr="0030237B">
        <w:rPr>
          <w:rFonts w:ascii="Verdana" w:hAnsi="Verdana"/>
          <w:b/>
          <w:bCs/>
        </w:rPr>
        <w:t>B-E</w:t>
      </w:r>
      <w:r w:rsidRPr="0030237B">
        <w:rPr>
          <w:rFonts w:ascii="Verdana" w:hAnsi="Verdana"/>
        </w:rPr>
        <w:t xml:space="preserve">) </w:t>
      </w:r>
      <w:proofErr w:type="spellStart"/>
      <w:r w:rsidRPr="0030237B">
        <w:rPr>
          <w:rFonts w:ascii="Verdana" w:hAnsi="Verdana"/>
        </w:rPr>
        <w:t>tSNE</w:t>
      </w:r>
      <w:proofErr w:type="spellEnd"/>
      <w:r w:rsidRPr="0030237B">
        <w:rPr>
          <w:rFonts w:ascii="Verdana" w:hAnsi="Verdana"/>
        </w:rPr>
        <w:t xml:space="preserve"> plot representation of microglia </w:t>
      </w:r>
      <w:r w:rsidRPr="0030237B">
        <w:rPr>
          <w:rFonts w:ascii="Verdana" w:hAnsi="Verdana" w:cstheme="minorHAnsi"/>
          <w:shd w:val="clear" w:color="auto" w:fill="FFFFFF"/>
        </w:rPr>
        <w:t xml:space="preserve">(28,634 cells) </w:t>
      </w:r>
      <w:r w:rsidRPr="0030237B">
        <w:rPr>
          <w:rFonts w:ascii="Verdana" w:hAnsi="Verdana"/>
        </w:rPr>
        <w:t xml:space="preserve">from newly diagnosed GB in combination with the analysis of </w:t>
      </w:r>
      <w:r w:rsidRPr="0030237B">
        <w:rPr>
          <w:rFonts w:ascii="Verdana" w:hAnsi="Verdana" w:cstheme="minorHAnsi"/>
          <w:color w:val="212121"/>
          <w:shd w:val="clear" w:color="auto" w:fill="FFFFFF"/>
        </w:rPr>
        <w:t xml:space="preserve">expression of genes associated to several tumour supportive functions, </w:t>
      </w:r>
      <w:r w:rsidRPr="0030237B">
        <w:rPr>
          <w:rFonts w:ascii="Verdana" w:hAnsi="Verdana" w:cstheme="minorHAnsi"/>
          <w:i/>
          <w:iCs/>
          <w:color w:val="212121"/>
          <w:shd w:val="clear" w:color="auto" w:fill="FFFFFF"/>
        </w:rPr>
        <w:t>i.e</w:t>
      </w:r>
      <w:r w:rsidRPr="0030237B">
        <w:rPr>
          <w:rFonts w:ascii="Verdana" w:hAnsi="Verdana" w:cstheme="minorHAnsi"/>
          <w:color w:val="212121"/>
          <w:shd w:val="clear" w:color="auto" w:fill="FFFFFF"/>
        </w:rPr>
        <w:t xml:space="preserve">., (B) </w:t>
      </w:r>
      <w:r w:rsidRPr="0030237B">
        <w:rPr>
          <w:rFonts w:ascii="Verdana" w:hAnsi="Verdana"/>
        </w:rPr>
        <w:t>ECM degradation and invasion (</w:t>
      </w:r>
      <w:r w:rsidRPr="0030237B">
        <w:rPr>
          <w:rFonts w:ascii="Verdana" w:hAnsi="Verdana"/>
          <w:i/>
          <w:iCs/>
        </w:rPr>
        <w:t>e.g</w:t>
      </w:r>
      <w:r w:rsidRPr="0030237B">
        <w:rPr>
          <w:rFonts w:ascii="Verdana" w:hAnsi="Verdana"/>
        </w:rPr>
        <w:t xml:space="preserve">., </w:t>
      </w:r>
      <w:r w:rsidRPr="0030237B">
        <w:rPr>
          <w:rFonts w:ascii="Verdana" w:hAnsi="Verdana"/>
          <w:i/>
          <w:iCs/>
        </w:rPr>
        <w:t>CCL4</w:t>
      </w:r>
      <w:r w:rsidRPr="0030237B">
        <w:rPr>
          <w:rFonts w:ascii="Verdana" w:hAnsi="Verdana"/>
        </w:rPr>
        <w:t xml:space="preserve">, </w:t>
      </w:r>
      <w:r w:rsidRPr="0030237B">
        <w:rPr>
          <w:rFonts w:ascii="Verdana" w:hAnsi="Verdana"/>
          <w:i/>
          <w:iCs/>
        </w:rPr>
        <w:t>CCL5</w:t>
      </w:r>
      <w:r w:rsidRPr="0030237B">
        <w:rPr>
          <w:rFonts w:ascii="Verdana" w:hAnsi="Verdana"/>
        </w:rPr>
        <w:t xml:space="preserve">, </w:t>
      </w:r>
      <w:r w:rsidRPr="0030237B">
        <w:rPr>
          <w:rFonts w:ascii="Verdana" w:hAnsi="Verdana"/>
          <w:i/>
          <w:iCs/>
        </w:rPr>
        <w:t>CCL8</w:t>
      </w:r>
      <w:r w:rsidRPr="0030237B">
        <w:rPr>
          <w:rFonts w:ascii="Verdana" w:hAnsi="Verdana"/>
        </w:rPr>
        <w:t xml:space="preserve">, </w:t>
      </w:r>
      <w:r w:rsidRPr="0030237B">
        <w:rPr>
          <w:rFonts w:ascii="Verdana" w:hAnsi="Verdana"/>
          <w:i/>
          <w:iCs/>
        </w:rPr>
        <w:t>IL6</w:t>
      </w:r>
      <w:r w:rsidRPr="0030237B">
        <w:rPr>
          <w:rFonts w:ascii="Verdana" w:hAnsi="Verdana"/>
        </w:rPr>
        <w:t xml:space="preserve">, </w:t>
      </w:r>
      <w:r w:rsidRPr="0030237B">
        <w:rPr>
          <w:rFonts w:ascii="Verdana" w:hAnsi="Verdana"/>
          <w:i/>
          <w:iCs/>
        </w:rPr>
        <w:t>IL18</w:t>
      </w:r>
      <w:r w:rsidRPr="0030237B">
        <w:rPr>
          <w:rFonts w:ascii="Verdana" w:hAnsi="Verdana"/>
        </w:rPr>
        <w:t xml:space="preserve">, </w:t>
      </w:r>
      <w:r w:rsidRPr="0030237B">
        <w:rPr>
          <w:rFonts w:ascii="Verdana" w:hAnsi="Verdana"/>
          <w:i/>
          <w:iCs/>
        </w:rPr>
        <w:t>MMP2</w:t>
      </w:r>
      <w:r w:rsidRPr="0030237B">
        <w:rPr>
          <w:rFonts w:ascii="Verdana" w:hAnsi="Verdana"/>
        </w:rPr>
        <w:t xml:space="preserve">, </w:t>
      </w:r>
      <w:r w:rsidRPr="0030237B">
        <w:rPr>
          <w:rFonts w:ascii="Verdana" w:hAnsi="Verdana"/>
          <w:i/>
          <w:iCs/>
        </w:rPr>
        <w:t>MMP9</w:t>
      </w:r>
      <w:r w:rsidRPr="0030237B">
        <w:rPr>
          <w:rFonts w:ascii="Verdana" w:hAnsi="Verdana"/>
        </w:rPr>
        <w:t xml:space="preserve">, </w:t>
      </w:r>
      <w:r w:rsidRPr="0030237B">
        <w:rPr>
          <w:rFonts w:ascii="Verdana" w:hAnsi="Verdana"/>
          <w:i/>
          <w:iCs/>
        </w:rPr>
        <w:t>MMP14</w:t>
      </w:r>
      <w:r w:rsidRPr="0030237B">
        <w:rPr>
          <w:rFonts w:ascii="Verdana" w:hAnsi="Verdana"/>
        </w:rPr>
        <w:t xml:space="preserve">, and </w:t>
      </w:r>
      <w:r w:rsidRPr="0030237B">
        <w:rPr>
          <w:rFonts w:ascii="Verdana" w:hAnsi="Verdana"/>
          <w:i/>
          <w:iCs/>
        </w:rPr>
        <w:t>TGFB1</w:t>
      </w:r>
      <w:r w:rsidRPr="0030237B">
        <w:rPr>
          <w:rFonts w:ascii="Verdana" w:hAnsi="Verdana"/>
        </w:rPr>
        <w:t>), (C) immune suppression (</w:t>
      </w:r>
      <w:r w:rsidRPr="0030237B">
        <w:rPr>
          <w:rFonts w:ascii="Verdana" w:hAnsi="Verdana"/>
          <w:i/>
          <w:iCs/>
        </w:rPr>
        <w:t>e.g</w:t>
      </w:r>
      <w:r w:rsidRPr="0030237B">
        <w:rPr>
          <w:rFonts w:ascii="Verdana" w:hAnsi="Verdana"/>
        </w:rPr>
        <w:t xml:space="preserve">., </w:t>
      </w:r>
      <w:r w:rsidRPr="0030237B">
        <w:rPr>
          <w:rFonts w:ascii="Verdana" w:hAnsi="Verdana"/>
          <w:i/>
          <w:iCs/>
        </w:rPr>
        <w:t>CCL2</w:t>
      </w:r>
      <w:r w:rsidRPr="0030237B">
        <w:rPr>
          <w:rFonts w:ascii="Verdana" w:hAnsi="Verdana"/>
        </w:rPr>
        <w:t xml:space="preserve">, </w:t>
      </w:r>
      <w:r w:rsidRPr="0030237B">
        <w:rPr>
          <w:rFonts w:ascii="Verdana" w:hAnsi="Verdana"/>
          <w:i/>
          <w:iCs/>
        </w:rPr>
        <w:t>IL10</w:t>
      </w:r>
      <w:r w:rsidRPr="0030237B">
        <w:rPr>
          <w:rFonts w:ascii="Verdana" w:hAnsi="Verdana"/>
        </w:rPr>
        <w:t xml:space="preserve">, and </w:t>
      </w:r>
      <w:r w:rsidRPr="0030237B">
        <w:rPr>
          <w:rFonts w:ascii="Verdana" w:hAnsi="Verdana"/>
          <w:i/>
          <w:iCs/>
        </w:rPr>
        <w:t>TGFB1</w:t>
      </w:r>
      <w:r w:rsidRPr="0030237B">
        <w:rPr>
          <w:rFonts w:ascii="Verdana" w:hAnsi="Verdana"/>
        </w:rPr>
        <w:t>), (D) proliferation and stemness (</w:t>
      </w:r>
      <w:r w:rsidRPr="0030237B">
        <w:rPr>
          <w:rFonts w:ascii="Verdana" w:hAnsi="Verdana"/>
          <w:i/>
          <w:iCs/>
        </w:rPr>
        <w:t>e.g</w:t>
      </w:r>
      <w:r w:rsidRPr="0030237B">
        <w:rPr>
          <w:rFonts w:ascii="Verdana" w:hAnsi="Verdana"/>
        </w:rPr>
        <w:t xml:space="preserve">., </w:t>
      </w:r>
      <w:r w:rsidRPr="0030237B">
        <w:rPr>
          <w:rFonts w:ascii="Verdana" w:hAnsi="Verdana"/>
          <w:i/>
          <w:iCs/>
        </w:rPr>
        <w:t>CCL8</w:t>
      </w:r>
      <w:r w:rsidRPr="0030237B">
        <w:rPr>
          <w:rFonts w:ascii="Verdana" w:hAnsi="Verdana"/>
        </w:rPr>
        <w:t xml:space="preserve">, </w:t>
      </w:r>
      <w:r w:rsidRPr="0030237B">
        <w:rPr>
          <w:rFonts w:ascii="Verdana" w:hAnsi="Verdana"/>
          <w:i/>
          <w:iCs/>
        </w:rPr>
        <w:t>IL1B</w:t>
      </w:r>
      <w:r w:rsidRPr="0030237B">
        <w:rPr>
          <w:rFonts w:ascii="Verdana" w:hAnsi="Verdana"/>
        </w:rPr>
        <w:t xml:space="preserve">, </w:t>
      </w:r>
      <w:r w:rsidRPr="0030237B">
        <w:rPr>
          <w:rFonts w:ascii="Verdana" w:hAnsi="Verdana"/>
          <w:i/>
          <w:iCs/>
        </w:rPr>
        <w:t>IL10</w:t>
      </w:r>
      <w:r w:rsidRPr="0030237B">
        <w:rPr>
          <w:rFonts w:ascii="Verdana" w:hAnsi="Verdana"/>
        </w:rPr>
        <w:t xml:space="preserve">, </w:t>
      </w:r>
      <w:r w:rsidRPr="0030237B">
        <w:rPr>
          <w:rFonts w:ascii="Verdana" w:hAnsi="Verdana"/>
          <w:i/>
          <w:iCs/>
        </w:rPr>
        <w:t>PTN</w:t>
      </w:r>
      <w:r w:rsidRPr="0030237B">
        <w:rPr>
          <w:rFonts w:ascii="Verdana" w:hAnsi="Verdana"/>
        </w:rPr>
        <w:t xml:space="preserve">, </w:t>
      </w:r>
      <w:r w:rsidRPr="0030237B">
        <w:rPr>
          <w:rFonts w:ascii="Verdana" w:hAnsi="Verdana"/>
          <w:i/>
          <w:iCs/>
        </w:rPr>
        <w:t>STIP1</w:t>
      </w:r>
      <w:r w:rsidRPr="0030237B">
        <w:rPr>
          <w:rFonts w:ascii="Verdana" w:hAnsi="Verdana"/>
        </w:rPr>
        <w:t xml:space="preserve">, and </w:t>
      </w:r>
      <w:r w:rsidRPr="0030237B">
        <w:rPr>
          <w:rFonts w:ascii="Verdana" w:hAnsi="Verdana"/>
          <w:i/>
          <w:iCs/>
        </w:rPr>
        <w:t>TGFB1</w:t>
      </w:r>
      <w:r w:rsidRPr="0030237B">
        <w:rPr>
          <w:rFonts w:ascii="Verdana" w:hAnsi="Verdana"/>
        </w:rPr>
        <w:t>), and (D) angiogenesis (</w:t>
      </w:r>
      <w:r w:rsidRPr="0030237B">
        <w:rPr>
          <w:rFonts w:ascii="Verdana" w:hAnsi="Verdana"/>
          <w:i/>
          <w:iCs/>
        </w:rPr>
        <w:t>e.g</w:t>
      </w:r>
      <w:r w:rsidRPr="0030237B">
        <w:rPr>
          <w:rFonts w:ascii="Verdana" w:hAnsi="Verdana"/>
        </w:rPr>
        <w:t xml:space="preserve">., </w:t>
      </w:r>
      <w:r w:rsidRPr="0030237B">
        <w:rPr>
          <w:rFonts w:ascii="Verdana" w:hAnsi="Verdana"/>
          <w:i/>
          <w:iCs/>
        </w:rPr>
        <w:t>CXCL2</w:t>
      </w:r>
      <w:r w:rsidRPr="0030237B">
        <w:rPr>
          <w:rFonts w:ascii="Verdana" w:hAnsi="Verdana"/>
        </w:rPr>
        <w:t xml:space="preserve">, </w:t>
      </w:r>
      <w:r w:rsidRPr="0030237B">
        <w:rPr>
          <w:rFonts w:ascii="Verdana" w:hAnsi="Verdana"/>
          <w:i/>
          <w:iCs/>
        </w:rPr>
        <w:t>IL6</w:t>
      </w:r>
      <w:r w:rsidRPr="0030237B">
        <w:rPr>
          <w:rFonts w:ascii="Verdana" w:hAnsi="Verdana"/>
        </w:rPr>
        <w:t xml:space="preserve">, </w:t>
      </w:r>
      <w:r w:rsidRPr="0030237B">
        <w:rPr>
          <w:rFonts w:ascii="Verdana" w:hAnsi="Verdana"/>
          <w:i/>
          <w:iCs/>
        </w:rPr>
        <w:t>MIF</w:t>
      </w:r>
      <w:r w:rsidRPr="0030237B">
        <w:rPr>
          <w:rFonts w:ascii="Verdana" w:hAnsi="Verdana"/>
        </w:rPr>
        <w:t xml:space="preserve">, </w:t>
      </w:r>
      <w:r w:rsidRPr="0030237B">
        <w:rPr>
          <w:rFonts w:ascii="Verdana" w:hAnsi="Verdana"/>
          <w:i/>
          <w:iCs/>
        </w:rPr>
        <w:t>TGFB1</w:t>
      </w:r>
      <w:r w:rsidRPr="0030237B">
        <w:rPr>
          <w:rFonts w:ascii="Verdana" w:hAnsi="Verdana"/>
        </w:rPr>
        <w:t xml:space="preserve">, </w:t>
      </w:r>
      <w:r w:rsidRPr="0030237B">
        <w:rPr>
          <w:rFonts w:ascii="Verdana" w:hAnsi="Verdana"/>
          <w:i/>
          <w:iCs/>
        </w:rPr>
        <w:t>VEGFA</w:t>
      </w:r>
      <w:r w:rsidRPr="0030237B">
        <w:rPr>
          <w:rFonts w:ascii="Verdana" w:hAnsi="Verdana"/>
        </w:rPr>
        <w:t xml:space="preserve">, and </w:t>
      </w:r>
      <w:r w:rsidRPr="0030237B">
        <w:rPr>
          <w:rFonts w:ascii="Verdana" w:hAnsi="Verdana"/>
          <w:i/>
          <w:iCs/>
        </w:rPr>
        <w:t>VEGFB</w:t>
      </w:r>
      <w:r w:rsidRPr="0030237B">
        <w:rPr>
          <w:rFonts w:ascii="Verdana" w:hAnsi="Verdana"/>
        </w:rPr>
        <w:t>).</w:t>
      </w:r>
    </w:p>
    <w:p w14:paraId="0432E302" w14:textId="77777777" w:rsidR="00813A98" w:rsidRPr="0030237B" w:rsidRDefault="00813A98" w:rsidP="00813A98">
      <w:pPr>
        <w:spacing w:after="120" w:line="480" w:lineRule="auto"/>
        <w:jc w:val="both"/>
        <w:rPr>
          <w:rFonts w:ascii="Verdana" w:hAnsi="Verdana"/>
        </w:rPr>
      </w:pPr>
    </w:p>
    <w:p w14:paraId="2F3B8464" w14:textId="77777777" w:rsidR="00813A98" w:rsidRPr="0030237B" w:rsidRDefault="00813A98" w:rsidP="00813A98">
      <w:pPr>
        <w:spacing w:after="120" w:line="480" w:lineRule="auto"/>
        <w:jc w:val="both"/>
        <w:rPr>
          <w:rFonts w:ascii="Verdana" w:hAnsi="Verdana"/>
          <w:b/>
          <w:bCs/>
        </w:rPr>
      </w:pPr>
      <w:r w:rsidRPr="0030237B">
        <w:rPr>
          <w:rFonts w:ascii="Verdana" w:hAnsi="Verdana"/>
          <w:b/>
          <w:bCs/>
          <w:color w:val="C00000"/>
        </w:rPr>
        <w:t>Supplementary fig. 4</w:t>
      </w:r>
      <w:r w:rsidRPr="0030237B">
        <w:rPr>
          <w:rFonts w:ascii="Verdana" w:hAnsi="Verdana"/>
          <w:b/>
          <w:bCs/>
        </w:rPr>
        <w:t xml:space="preserve"> | Expression of </w:t>
      </w:r>
      <w:r w:rsidRPr="0030237B">
        <w:rPr>
          <w:rFonts w:ascii="Verdana" w:hAnsi="Verdana"/>
          <w:b/>
          <w:bCs/>
          <w:i/>
          <w:iCs/>
        </w:rPr>
        <w:t>ID2</w:t>
      </w:r>
      <w:r w:rsidRPr="0030237B">
        <w:rPr>
          <w:rFonts w:ascii="Verdana" w:hAnsi="Verdana"/>
          <w:b/>
          <w:bCs/>
        </w:rPr>
        <w:t xml:space="preserve"> and </w:t>
      </w:r>
      <w:r w:rsidRPr="0030237B">
        <w:rPr>
          <w:rFonts w:ascii="Verdana" w:hAnsi="Verdana"/>
          <w:b/>
          <w:bCs/>
          <w:i/>
          <w:iCs/>
        </w:rPr>
        <w:t>ETS2</w:t>
      </w:r>
      <w:r w:rsidRPr="0030237B">
        <w:rPr>
          <w:rFonts w:ascii="Verdana" w:hAnsi="Verdana"/>
          <w:b/>
          <w:bCs/>
        </w:rPr>
        <w:t xml:space="preserve"> genes in the human single-cell RNA-sequencing dataset </w:t>
      </w:r>
      <w:r w:rsidRPr="0030237B">
        <w:rPr>
          <w:rFonts w:ascii="Verdana" w:hAnsi="Verdana"/>
        </w:rPr>
        <w:t>(</w:t>
      </w:r>
      <w:r w:rsidRPr="0030237B">
        <w:rPr>
          <w:rFonts w:ascii="Verdana" w:hAnsi="Verdana"/>
          <w:color w:val="0070C0"/>
        </w:rPr>
        <w:t>GSE131928</w:t>
      </w:r>
      <w:r w:rsidRPr="0030237B">
        <w:rPr>
          <w:rFonts w:ascii="Verdana" w:hAnsi="Verdana"/>
        </w:rPr>
        <w:t>)</w:t>
      </w:r>
      <w:r w:rsidRPr="0030237B">
        <w:rPr>
          <w:rFonts w:ascii="Verdana" w:hAnsi="Verdana"/>
          <w:b/>
          <w:bCs/>
        </w:rPr>
        <w:t>.</w:t>
      </w:r>
    </w:p>
    <w:p w14:paraId="1952C0CE" w14:textId="77777777" w:rsidR="00813A98" w:rsidRPr="0030237B" w:rsidRDefault="00813A98" w:rsidP="00813A98">
      <w:pPr>
        <w:spacing w:after="120" w:line="480" w:lineRule="auto"/>
        <w:jc w:val="both"/>
        <w:rPr>
          <w:rFonts w:ascii="Verdana" w:hAnsi="Verdana"/>
        </w:rPr>
      </w:pPr>
      <w:r w:rsidRPr="0030237B">
        <w:rPr>
          <w:rFonts w:ascii="Verdana" w:hAnsi="Verdana"/>
        </w:rPr>
        <w:t xml:space="preserve">A publicly available single-cell RNA-sequencing dataset generated from 28 human glioblastoma tumour biopsies was reanalysed. </w:t>
      </w:r>
      <w:r w:rsidRPr="0030237B">
        <w:rPr>
          <w:rFonts w:ascii="Verdana" w:hAnsi="Verdana"/>
          <w:b/>
          <w:bCs/>
        </w:rPr>
        <w:t>A</w:t>
      </w:r>
      <w:r w:rsidRPr="0030237B">
        <w:rPr>
          <w:rFonts w:ascii="Verdana" w:hAnsi="Verdana"/>
        </w:rPr>
        <w:t>) T-distributed stochastic neighbour embedding (</w:t>
      </w:r>
      <w:proofErr w:type="spellStart"/>
      <w:r w:rsidRPr="0030237B">
        <w:rPr>
          <w:rFonts w:ascii="Verdana" w:hAnsi="Verdana"/>
        </w:rPr>
        <w:t>tSNE</w:t>
      </w:r>
      <w:proofErr w:type="spellEnd"/>
      <w:r w:rsidRPr="0030237B">
        <w:rPr>
          <w:rFonts w:ascii="Verdana" w:hAnsi="Verdana"/>
        </w:rPr>
        <w:t xml:space="preserve">) plot representation of all single sequenced cells. Cells are coloured based on expression of sets of marker genes for tumour cells (blue), myeloid cells (red), oligodendrocytes (green) and T cells (purple). In the single-cell RNA sequencing dataset. </w:t>
      </w:r>
      <w:r w:rsidRPr="0030237B">
        <w:rPr>
          <w:rFonts w:ascii="Verdana" w:hAnsi="Verdana" w:cstheme="minorHAnsi"/>
          <w:b/>
          <w:bCs/>
          <w:shd w:val="clear" w:color="auto" w:fill="FFFFFF"/>
        </w:rPr>
        <w:t>B</w:t>
      </w:r>
      <w:r w:rsidRPr="0030237B">
        <w:rPr>
          <w:rFonts w:ascii="Verdana" w:hAnsi="Verdana" w:cstheme="minorHAnsi"/>
          <w:shd w:val="clear" w:color="auto" w:fill="FFFFFF"/>
        </w:rPr>
        <w:t xml:space="preserve">) Expression of </w:t>
      </w:r>
      <w:r w:rsidRPr="0030237B">
        <w:rPr>
          <w:rFonts w:ascii="Verdana" w:hAnsi="Verdana" w:cstheme="minorHAnsi"/>
          <w:i/>
          <w:iCs/>
          <w:shd w:val="clear" w:color="auto" w:fill="FFFFFF"/>
        </w:rPr>
        <w:t>ID2</w:t>
      </w:r>
      <w:r w:rsidRPr="0030237B">
        <w:rPr>
          <w:rFonts w:ascii="Verdana" w:hAnsi="Verdana" w:cstheme="minorHAnsi"/>
          <w:shd w:val="clear" w:color="auto" w:fill="FFFFFF"/>
        </w:rPr>
        <w:t xml:space="preserve"> and </w:t>
      </w:r>
      <w:r w:rsidRPr="0030237B">
        <w:rPr>
          <w:rFonts w:ascii="Verdana" w:hAnsi="Verdana" w:cstheme="minorHAnsi"/>
          <w:b/>
          <w:bCs/>
          <w:shd w:val="clear" w:color="auto" w:fill="FFFFFF"/>
        </w:rPr>
        <w:t>C</w:t>
      </w:r>
      <w:r w:rsidRPr="0030237B">
        <w:rPr>
          <w:rFonts w:ascii="Verdana" w:hAnsi="Verdana" w:cstheme="minorHAnsi"/>
          <w:shd w:val="clear" w:color="auto" w:fill="FFFFFF"/>
        </w:rPr>
        <w:t xml:space="preserve">) </w:t>
      </w:r>
      <w:r w:rsidRPr="0030237B">
        <w:rPr>
          <w:rFonts w:ascii="Verdana" w:hAnsi="Verdana" w:cstheme="minorHAnsi"/>
          <w:i/>
          <w:iCs/>
          <w:shd w:val="clear" w:color="auto" w:fill="FFFFFF"/>
        </w:rPr>
        <w:t>ETS2</w:t>
      </w:r>
      <w:r w:rsidRPr="0030237B">
        <w:rPr>
          <w:rFonts w:ascii="Verdana" w:hAnsi="Verdana" w:cstheme="minorHAnsi"/>
          <w:shd w:val="clear" w:color="auto" w:fill="FFFFFF"/>
        </w:rPr>
        <w:t xml:space="preserve"> genes, validating expression in myeloid cells in the context of glioblastoma tumours.</w:t>
      </w:r>
    </w:p>
    <w:p w14:paraId="16BB5576" w14:textId="77777777" w:rsidR="00813A98" w:rsidRPr="0030237B" w:rsidRDefault="00813A98" w:rsidP="00813A98">
      <w:pPr>
        <w:spacing w:after="120" w:line="480" w:lineRule="auto"/>
        <w:jc w:val="both"/>
        <w:rPr>
          <w:rFonts w:ascii="Verdana" w:hAnsi="Verdana"/>
          <w:b/>
          <w:bCs/>
        </w:rPr>
      </w:pPr>
    </w:p>
    <w:p w14:paraId="2BCA534E" w14:textId="77777777" w:rsidR="00813A98" w:rsidRPr="0030237B" w:rsidRDefault="00813A98" w:rsidP="00813A98">
      <w:pPr>
        <w:spacing w:after="120" w:line="480" w:lineRule="auto"/>
        <w:jc w:val="both"/>
        <w:rPr>
          <w:rFonts w:ascii="Verdana" w:hAnsi="Verdana"/>
          <w:b/>
          <w:bCs/>
        </w:rPr>
      </w:pPr>
      <w:r w:rsidRPr="0030237B">
        <w:rPr>
          <w:rFonts w:ascii="Verdana" w:hAnsi="Verdana"/>
          <w:b/>
          <w:bCs/>
          <w:color w:val="C00000"/>
        </w:rPr>
        <w:t>Supplementary Data file 1</w:t>
      </w:r>
      <w:r w:rsidRPr="0030237B">
        <w:rPr>
          <w:rFonts w:ascii="Verdana" w:hAnsi="Verdana"/>
          <w:b/>
          <w:bCs/>
        </w:rPr>
        <w:t xml:space="preserve"> | Immunoblot.</w:t>
      </w:r>
    </w:p>
    <w:p w14:paraId="0BEA9D19" w14:textId="77777777" w:rsidR="00813A98" w:rsidRPr="0030237B" w:rsidRDefault="00813A98" w:rsidP="00813A98">
      <w:pPr>
        <w:spacing w:after="120" w:line="480" w:lineRule="auto"/>
        <w:jc w:val="both"/>
        <w:rPr>
          <w:rFonts w:ascii="Verdana" w:hAnsi="Verdana"/>
        </w:rPr>
      </w:pPr>
      <w:r w:rsidRPr="0030237B">
        <w:rPr>
          <w:rFonts w:ascii="Verdana" w:hAnsi="Verdana"/>
        </w:rPr>
        <w:t>Full and uncropped immunoblots for supplementary figure 1E. Lanes 5 and 6 are depicted in the figure.</w:t>
      </w:r>
    </w:p>
    <w:p w14:paraId="42997FAE" w14:textId="77777777" w:rsidR="00813A98" w:rsidRPr="0030237B" w:rsidRDefault="00813A98" w:rsidP="00813A98">
      <w:pPr>
        <w:spacing w:after="120" w:line="480" w:lineRule="auto"/>
        <w:jc w:val="both"/>
        <w:rPr>
          <w:rFonts w:ascii="Verdana" w:hAnsi="Verdana"/>
        </w:rPr>
      </w:pPr>
    </w:p>
    <w:p w14:paraId="15C40783" w14:textId="77777777" w:rsidR="00813A98" w:rsidRPr="0030237B" w:rsidRDefault="00813A98" w:rsidP="00813A98">
      <w:pPr>
        <w:spacing w:after="120" w:line="480" w:lineRule="auto"/>
        <w:jc w:val="both"/>
        <w:rPr>
          <w:rFonts w:ascii="Verdana" w:hAnsi="Verdana"/>
          <w:b/>
          <w:bCs/>
        </w:rPr>
      </w:pPr>
      <w:r w:rsidRPr="0030237B">
        <w:rPr>
          <w:rFonts w:ascii="Verdana" w:hAnsi="Verdana"/>
          <w:b/>
          <w:bCs/>
          <w:color w:val="C00000"/>
        </w:rPr>
        <w:t>Supplementary Data file 2</w:t>
      </w:r>
      <w:r w:rsidRPr="0030237B">
        <w:rPr>
          <w:rFonts w:ascii="Verdana" w:hAnsi="Verdana"/>
          <w:b/>
          <w:bCs/>
        </w:rPr>
        <w:t xml:space="preserve"> | TCGA raw data.</w:t>
      </w:r>
    </w:p>
    <w:p w14:paraId="1180D499" w14:textId="74C6EFBB" w:rsidR="000A02FF" w:rsidRPr="00C94A88" w:rsidRDefault="00813A98" w:rsidP="00C94A88">
      <w:pPr>
        <w:spacing w:after="120" w:line="480" w:lineRule="auto"/>
        <w:jc w:val="both"/>
        <w:rPr>
          <w:rFonts w:ascii="Verdana" w:hAnsi="Verdana"/>
        </w:rPr>
      </w:pPr>
      <w:r w:rsidRPr="0030237B">
        <w:rPr>
          <w:rFonts w:ascii="Verdana" w:hAnsi="Verdana"/>
        </w:rPr>
        <w:t xml:space="preserve">Gene expression levels for </w:t>
      </w:r>
      <w:r w:rsidRPr="0030237B">
        <w:rPr>
          <w:rFonts w:ascii="Verdana" w:hAnsi="Verdana"/>
          <w:i/>
          <w:iCs/>
        </w:rPr>
        <w:t>ID2</w:t>
      </w:r>
      <w:r w:rsidRPr="0030237B">
        <w:rPr>
          <w:rFonts w:ascii="Verdana" w:hAnsi="Verdana"/>
        </w:rPr>
        <w:t xml:space="preserve"> and </w:t>
      </w:r>
      <w:r w:rsidRPr="0030237B">
        <w:rPr>
          <w:rFonts w:ascii="Verdana" w:hAnsi="Verdana"/>
          <w:i/>
          <w:iCs/>
        </w:rPr>
        <w:t>ETS2</w:t>
      </w:r>
      <w:r w:rsidRPr="0030237B">
        <w:rPr>
          <w:rFonts w:ascii="Verdana" w:hAnsi="Verdana"/>
        </w:rPr>
        <w:t xml:space="preserve"> and clinical data extracted for a maximal 5 </w:t>
      </w:r>
      <w:proofErr w:type="gramStart"/>
      <w:r w:rsidRPr="0030237B">
        <w:rPr>
          <w:rFonts w:ascii="Verdana" w:hAnsi="Verdana"/>
        </w:rPr>
        <w:t>years</w:t>
      </w:r>
      <w:proofErr w:type="gramEnd"/>
      <w:r w:rsidRPr="0030237B">
        <w:rPr>
          <w:rFonts w:ascii="Verdana" w:hAnsi="Verdana"/>
        </w:rPr>
        <w:t xml:space="preserve"> period from the Cancer Genome Atlas (TCGA) for glioblastoma (TCGA-GBM) and lower-grade glioma (TCGA-LGG) cohorts.</w:t>
      </w:r>
    </w:p>
    <w:sectPr w:rsidR="000A02FF" w:rsidRPr="00C94A88" w:rsidSect="00813A98">
      <w:footerReference w:type="default" r:id="rId4"/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623233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F491B4" w14:textId="77777777" w:rsidR="00201EC5" w:rsidRPr="00A10912" w:rsidRDefault="00201EC5">
        <w:pPr>
          <w:pStyle w:val="Footer"/>
          <w:jc w:val="right"/>
        </w:pPr>
        <w:r w:rsidRPr="00A10912">
          <w:fldChar w:fldCharType="begin"/>
        </w:r>
        <w:r w:rsidRPr="00A10912">
          <w:instrText xml:space="preserve"> PAGE   \* MERGEFORMAT </w:instrText>
        </w:r>
        <w:r w:rsidRPr="00A10912">
          <w:fldChar w:fldCharType="separate"/>
        </w:r>
        <w:r w:rsidRPr="00A10912">
          <w:rPr>
            <w:noProof/>
          </w:rPr>
          <w:t>2</w:t>
        </w:r>
        <w:r w:rsidRPr="00A10912">
          <w:rPr>
            <w:noProof/>
          </w:rPr>
          <w:fldChar w:fldCharType="end"/>
        </w:r>
      </w:p>
    </w:sdtContent>
  </w:sdt>
  <w:p w14:paraId="7C8697E7" w14:textId="77777777" w:rsidR="00201EC5" w:rsidRPr="00A10912" w:rsidRDefault="00201EC5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A98"/>
    <w:rsid w:val="00005776"/>
    <w:rsid w:val="00050633"/>
    <w:rsid w:val="000A02FF"/>
    <w:rsid w:val="00201EC5"/>
    <w:rsid w:val="00430DEB"/>
    <w:rsid w:val="00525A0D"/>
    <w:rsid w:val="0069392B"/>
    <w:rsid w:val="006C2C32"/>
    <w:rsid w:val="00813A98"/>
    <w:rsid w:val="00C9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356DF"/>
  <w15:chartTrackingRefBased/>
  <w15:docId w15:val="{2511D560-D407-4402-AC0A-F81887985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A98"/>
    <w:rPr>
      <w:kern w:val="2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3A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3A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3A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3A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0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3A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0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3A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3A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0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3A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3A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3A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3A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3A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3A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3A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3A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3A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3A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3A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3A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813A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3A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11"/>
    <w:rsid w:val="00813A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3A98"/>
    <w:pPr>
      <w:spacing w:before="160"/>
      <w:jc w:val="center"/>
    </w:pPr>
    <w:rPr>
      <w:i/>
      <w:iCs/>
      <w:color w:val="404040" w:themeColor="text1" w:themeTint="BF"/>
      <w:kern w:val="0"/>
      <w14:ligatures w14:val="none"/>
    </w:rPr>
  </w:style>
  <w:style w:type="character" w:customStyle="1" w:styleId="QuoteChar">
    <w:name w:val="Quote Char"/>
    <w:basedOn w:val="DefaultParagraphFont"/>
    <w:link w:val="Quote"/>
    <w:uiPriority w:val="29"/>
    <w:rsid w:val="00813A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3A98"/>
    <w:pPr>
      <w:ind w:left="720"/>
      <w:contextualSpacing/>
    </w:pPr>
    <w:rPr>
      <w:kern w:val="0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813A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3A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0"/>
      <w14:ligatures w14:val="non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3A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3A98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813A9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3A98"/>
    <w:rPr>
      <w:kern w:val="2"/>
      <w14:ligatures w14:val="standardContextual"/>
    </w:rPr>
  </w:style>
  <w:style w:type="character" w:styleId="LineNumber">
    <w:name w:val="line number"/>
    <w:basedOn w:val="DefaultParagraphFont"/>
    <w:uiPriority w:val="99"/>
    <w:semiHidden/>
    <w:unhideWhenUsed/>
    <w:rsid w:val="00813A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518</Words>
  <Characters>2957</Characters>
  <Application>Microsoft Office Word</Application>
  <DocSecurity>0</DocSecurity>
  <Lines>24</Lines>
  <Paragraphs>6</Paragraphs>
  <ScaleCrop>false</ScaleCrop>
  <Company/>
  <LinksUpToDate>false</LinksUpToDate>
  <CharactersWithSpaces>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Bertrand Joseph</dc:creator>
  <cp:keywords/>
  <dc:description/>
  <cp:lastModifiedBy>Bertrand Joseph</cp:lastModifiedBy>
  <cp:revision>2</cp:revision>
  <dcterms:created xsi:type="dcterms:W3CDTF">2024-07-03T14:34:00Z</dcterms:created>
  <dcterms:modified xsi:type="dcterms:W3CDTF">2024-07-03T14:34:00Z</dcterms:modified>
</cp:coreProperties>
</file>