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bidi="ar"/>
        </w:rPr>
        <w:t>Supplementary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 xml:space="preserve"> figure1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RNA-seq of 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 xml:space="preserve">vector control and </w:t>
      </w:r>
      <w:r>
        <w:rPr>
          <w:rFonts w:ascii="Times New Roman" w:hAnsi="Times New Roman" w:eastAsia="等线" w:cs="Times New Roman"/>
          <w:b/>
          <w:bCs/>
          <w:i/>
          <w:iCs/>
          <w:sz w:val="24"/>
          <w:szCs w:val="24"/>
          <w:lang w:bidi="ar"/>
        </w:rPr>
        <w:t>ATM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>-KO CT26 cells</w:t>
      </w:r>
    </w:p>
    <w:p>
      <w:pPr>
        <w:numPr>
          <w:numId w:val="0"/>
        </w:numPr>
        <w:spacing w:line="480" w:lineRule="auto"/>
        <w:rPr>
          <w:rFonts w:ascii="Times New Roman" w:hAnsi="Times New Roman" w:eastAsia="等线" w:cs="Times New Roman"/>
          <w:sz w:val="24"/>
          <w:szCs w:val="24"/>
          <w:lang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 w:bidi="ar"/>
        </w:rPr>
        <w:t>(A)</w:t>
      </w:r>
      <w:r>
        <w:rPr>
          <w:rFonts w:hint="eastAsia" w:ascii="Times New Roman" w:hAnsi="Times New Roman" w:eastAsia="等线" w:cs="Times New Roman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>The top 10 significantly enriched GO terms in biological process.</w:t>
      </w:r>
      <w:r>
        <w:rPr>
          <w:rFonts w:hint="eastAsia" w:ascii="Times New Roman" w:hAnsi="Times New Roman" w:eastAsia="等线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>(B and C)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 Heat map of response to interferon-beta (B) gene expression and response to interferon-gamma (C) gene expression.</w:t>
      </w:r>
    </w:p>
    <w:p>
      <w:pPr>
        <w:spacing w:line="480" w:lineRule="auto"/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bidi="ar"/>
        </w:rPr>
        <w:t>Supplementary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 xml:space="preserve"> figure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bidi="ar"/>
        </w:rPr>
        <w:t>2</w:t>
      </w:r>
    </w:p>
    <w:p>
      <w:pPr>
        <w:spacing w:line="480" w:lineRule="auto"/>
        <w:rPr>
          <w:rFonts w:ascii="Times New Roman" w:hAnsi="Times New Roman" w:eastAsia="等线" w:cs="Times New Roman"/>
          <w:b/>
          <w:bCs/>
          <w:i/>
          <w:iCs/>
          <w:sz w:val="24"/>
          <w:szCs w:val="24"/>
          <w:lang w:bidi="ar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 xml:space="preserve">ATM inhibition sensitizes CRC cells to radiation </w:t>
      </w:r>
      <w:r>
        <w:rPr>
          <w:rFonts w:ascii="Times New Roman" w:hAnsi="Times New Roman" w:eastAsia="等线" w:cs="Times New Roman"/>
          <w:b/>
          <w:bCs/>
          <w:i/>
          <w:iCs/>
          <w:sz w:val="24"/>
          <w:szCs w:val="24"/>
          <w:lang w:bidi="ar"/>
        </w:rPr>
        <w:t>in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i/>
          <w:iCs/>
          <w:sz w:val="24"/>
          <w:szCs w:val="24"/>
          <w:lang w:bidi="ar"/>
        </w:rPr>
        <w:t>vitro</w:t>
      </w:r>
    </w:p>
    <w:p>
      <w:pPr>
        <w:numPr>
          <w:numId w:val="0"/>
        </w:numPr>
        <w:spacing w:line="480" w:lineRule="auto"/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 w:bidi="ar"/>
        </w:rPr>
        <w:t>(A)</w:t>
      </w:r>
      <w:r>
        <w:rPr>
          <w:rFonts w:hint="eastAsia" w:ascii="Times New Roman" w:hAnsi="Times New Roman" w:eastAsia="等线" w:cs="Times New Roman"/>
          <w:sz w:val="24"/>
          <w:szCs w:val="24"/>
          <w:lang w:val="en-US" w:eastAsia="zh-CN" w:bidi="ar"/>
        </w:rPr>
        <w:t xml:space="preserve"> </w:t>
      </w:r>
      <w:bookmarkStart w:id="2" w:name="_GoBack"/>
      <w:bookmarkEnd w:id="2"/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Clonogenic survival assays of vector control and </w:t>
      </w:r>
      <w:r>
        <w:rPr>
          <w:rFonts w:ascii="Times New Roman" w:hAnsi="Times New Roman" w:eastAsia="等线" w:cs="Times New Roman"/>
          <w:i/>
          <w:iCs/>
          <w:sz w:val="24"/>
          <w:szCs w:val="24"/>
          <w:lang w:bidi="ar"/>
        </w:rPr>
        <w:t>ATM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>-KO CT26 cells after a gradient from 0Gy to 6Gy. n=3 wells per group.</w:t>
      </w:r>
      <w:r>
        <w:rPr>
          <w:rFonts w:hint="eastAsia" w:ascii="Times New Roman" w:hAnsi="Times New Roman" w:eastAsia="等线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>(B and C)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 Representative flow cytometry profiles of annexin V-FITC/PI staining (B) and statistical analysis (C) of vector control and </w:t>
      </w:r>
      <w:r>
        <w:rPr>
          <w:rFonts w:ascii="Times New Roman" w:hAnsi="Times New Roman" w:eastAsia="等线" w:cs="Times New Roman"/>
          <w:i/>
          <w:iCs/>
          <w:sz w:val="24"/>
          <w:szCs w:val="24"/>
          <w:lang w:bidi="ar"/>
        </w:rPr>
        <w:t>ATM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>-KO CT26 cells and HCT116 cells after radiation for 24h.</w:t>
      </w:r>
      <w:r>
        <w:rPr>
          <w:rFonts w:hint="eastAsia" w:ascii="Times New Roman" w:hAnsi="Times New Roman" w:eastAsia="等线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>(D)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 The reactive oxygen species level of vector control, </w:t>
      </w:r>
      <w:r>
        <w:rPr>
          <w:rFonts w:ascii="Times New Roman" w:hAnsi="Times New Roman" w:eastAsia="等线" w:cs="Times New Roman"/>
          <w:i/>
          <w:iCs/>
          <w:sz w:val="24"/>
          <w:szCs w:val="24"/>
          <w:lang w:bidi="ar"/>
        </w:rPr>
        <w:t>ATM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>-KO, KU60019 (3μmol/L, 24h) treated CT26 cells and HCT116 cells were detected by flow cytometry after radiation for 24h.</w:t>
      </w:r>
      <w:r>
        <w:rPr>
          <w:rFonts w:hint="eastAsia" w:ascii="Times New Roman" w:hAnsi="Times New Roman" w:eastAsia="等线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>(E)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 Clonogenic survival assays of MC38 cells and CT26 cells treated with KU60019 (3μmol/L) and radiation (6Gy). n = 3 wells per group.</w:t>
      </w:r>
      <w:r>
        <w:rPr>
          <w:rFonts w:hint="eastAsia" w:ascii="Times New Roman" w:hAnsi="Times New Roman" w:eastAsia="等线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>(F)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 Immunoblots of γH2AX in MC38 cells and CT26 cells treated with KU60019 (3μmol/L, 24h) and radiation (6Gy, 24</w:t>
      </w:r>
      <w:r>
        <w:rPr>
          <w:rFonts w:ascii="Times New Roman" w:hAnsi="Times New Roman" w:eastAsia="等线" w:cs="Times New Roman"/>
          <w:sz w:val="24"/>
          <w:szCs w:val="24"/>
          <w:highlight w:val="none"/>
          <w:lang w:bidi="ar"/>
        </w:rPr>
        <w:t>h).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0.05, **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0.01, ***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0.001, ****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0.0001.</w:t>
      </w:r>
    </w:p>
    <w:p>
      <w:pPr>
        <w:spacing w:line="480" w:lineRule="auto"/>
        <w:rPr>
          <w:rFonts w:ascii="Times New Roman" w:hAnsi="Times New Roman" w:eastAsia="等线" w:cs="Times New Roman"/>
          <w:b/>
          <w:bCs/>
          <w:sz w:val="24"/>
          <w:szCs w:val="24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highlight w:val="none"/>
          <w:lang w:bidi="ar"/>
        </w:rPr>
        <w:t>Supplementary</w:t>
      </w:r>
      <w:r>
        <w:rPr>
          <w:rFonts w:ascii="Times New Roman" w:hAnsi="Times New Roman" w:eastAsia="等线" w:cs="Times New Roman"/>
          <w:b/>
          <w:bCs/>
          <w:sz w:val="24"/>
          <w:szCs w:val="24"/>
          <w:highlight w:val="none"/>
          <w:lang w:bidi="ar"/>
        </w:rPr>
        <w:t xml:space="preserve"> figure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highlight w:val="none"/>
          <w:lang w:bidi="ar"/>
        </w:rPr>
        <w:t>3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ATM inhibitor enhances the expression of MHC-I in BMDM</w:t>
      </w:r>
    </w:p>
    <w:p>
      <w:pPr>
        <w:spacing w:line="480" w:lineRule="auto"/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highlight w:val="none"/>
          <w:lang w:val="en-US" w:eastAsia="zh-CN" w:bidi="ar"/>
        </w:rPr>
        <w:t>(A-</w:t>
      </w:r>
      <w:r>
        <w:rPr>
          <w:rFonts w:ascii="Times New Roman" w:hAnsi="Times New Roman" w:eastAsia="等线" w:cs="Times New Roman"/>
          <w:b/>
          <w:bCs/>
          <w:sz w:val="24"/>
          <w:szCs w:val="24"/>
          <w:highlight w:val="none"/>
          <w:lang w:bidi="ar"/>
        </w:rPr>
        <w:t>C)</w:t>
      </w:r>
      <w:r>
        <w:rPr>
          <w:rFonts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BMDM from healthy C57BL/6 mouse were incubated with 0-3μM KU60019 for 24h. Surface expression of H2Kd/H2Dd were determined by flow cytometry (A and B). qRT-PCR was used to measure the mRNA level of H2Kd/H2Dd, IRF1 and NLRC5 (C).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0.05, **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0.01, ***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0.001, ****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0.0001.</w:t>
      </w:r>
    </w:p>
    <w:p>
      <w:pPr>
        <w:spacing w:line="480" w:lineRule="auto"/>
        <w:rPr>
          <w:rFonts w:ascii="Times New Roman" w:hAnsi="Times New Roman" w:eastAsia="等线" w:cs="Times New Roman"/>
          <w:b/>
          <w:bCs/>
          <w:sz w:val="24"/>
          <w:szCs w:val="24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highlight w:val="none"/>
          <w:lang w:bidi="ar"/>
        </w:rPr>
        <w:t>Supplementary</w:t>
      </w:r>
      <w:r>
        <w:rPr>
          <w:rFonts w:ascii="Times New Roman" w:hAnsi="Times New Roman" w:eastAsia="等线" w:cs="Times New Roman"/>
          <w:b/>
          <w:bCs/>
          <w:sz w:val="24"/>
          <w:szCs w:val="24"/>
          <w:highlight w:val="none"/>
          <w:lang w:bidi="ar"/>
        </w:rPr>
        <w:t xml:space="preserve"> figure4</w:t>
      </w:r>
    </w:p>
    <w:p>
      <w:pPr>
        <w:spacing w:line="480" w:lineRule="auto"/>
        <w:rPr>
          <w:rFonts w:ascii="Times New Roman" w:hAnsi="Times New Roman" w:eastAsia="等线" w:cs="Times New Roman"/>
          <w:b/>
          <w:bCs/>
          <w:sz w:val="24"/>
          <w:szCs w:val="24"/>
          <w:highlight w:val="none"/>
          <w:lang w:bidi="ar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  <w:highlight w:val="none"/>
          <w:lang w:bidi="ar"/>
        </w:rPr>
        <w:t>Effect of ATM silencing on MHC class II and PD-L1 expression in CRC cells</w:t>
      </w:r>
    </w:p>
    <w:p>
      <w:pPr>
        <w:spacing w:line="480" w:lineRule="auto"/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</w:pPr>
      <w:bookmarkStart w:id="0" w:name="_Hlk155294035"/>
      <w:r>
        <w:rPr>
          <w:rFonts w:hint="eastAsia" w:ascii="Times New Roman" w:hAnsi="Times New Roman" w:eastAsia="等线" w:cs="Times New Roman"/>
          <w:b/>
          <w:bCs/>
          <w:sz w:val="24"/>
          <w:szCs w:val="24"/>
          <w:highlight w:val="none"/>
          <w:lang w:val="en-US" w:eastAsia="zh-CN" w:bidi="ar"/>
        </w:rPr>
        <w:t>(A-</w:t>
      </w:r>
      <w:r>
        <w:rPr>
          <w:rFonts w:ascii="Times New Roman" w:hAnsi="Times New Roman" w:eastAsia="等线" w:cs="Times New Roman"/>
          <w:b/>
          <w:bCs/>
          <w:sz w:val="24"/>
          <w:szCs w:val="24"/>
          <w:highlight w:val="none"/>
          <w:lang w:bidi="ar"/>
        </w:rPr>
        <w:t>G)</w:t>
      </w:r>
      <w:r>
        <w:rPr>
          <w:rFonts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Vector control and </w:t>
      </w:r>
      <w:r>
        <w:rPr>
          <w:rFonts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ATM</w:t>
      </w:r>
      <w:r>
        <w:rPr>
          <w:rFonts w:ascii="Times New Roman" w:hAnsi="Times New Roman" w:eastAsia="等线" w:cs="Times New Roman"/>
          <w:sz w:val="24"/>
          <w:szCs w:val="24"/>
          <w:highlight w:val="none"/>
          <w:lang w:bidi="ar"/>
        </w:rPr>
        <w:t xml:space="preserve">-KO CT26 cells were stimulated with IFNγ (100ng/ml, 24h) and radiation (6Gy, 24h). </w:t>
      </w:r>
      <w:bookmarkEnd w:id="0"/>
      <w:r>
        <w:rPr>
          <w:rFonts w:ascii="Times New Roman" w:hAnsi="Times New Roman" w:eastAsia="等线" w:cs="Times New Roman"/>
          <w:sz w:val="24"/>
          <w:szCs w:val="24"/>
          <w:highlight w:val="none"/>
          <w:lang w:bidi="ar"/>
        </w:rPr>
        <w:t>sh</w:t>
      </w:r>
      <w:r>
        <w:rPr>
          <w:rFonts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Fluc</w:t>
      </w:r>
      <w:r>
        <w:rPr>
          <w:rFonts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and sh</w:t>
      </w:r>
      <w:r>
        <w:rPr>
          <w:rFonts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ATM</w:t>
      </w:r>
      <w:r>
        <w:rPr>
          <w:rFonts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HCT116 cells were stimulated with IFNγ (500unit/ml, 24h) and radiation (6Gy, 24h). Surface expression of MHC-I (B and C), MHC-II (D and E) and PD-L1 (F and G) were determined by flow cytometry.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0.05, **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0.01, ***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0.001, **** </w:t>
      </w:r>
      <w:r>
        <w:rPr>
          <w:rFonts w:hint="eastAsia" w:ascii="Times New Roman" w:hAnsi="Times New Roman" w:eastAsia="等线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  <w:t xml:space="preserve"> &lt; 0.0001.</w:t>
      </w:r>
    </w:p>
    <w:p>
      <w:pPr>
        <w:spacing w:line="480" w:lineRule="auto"/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</w:pPr>
      <w:bookmarkStart w:id="1" w:name="_Hlk160806551"/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bidi="ar"/>
        </w:rPr>
        <w:t>Supplementary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 xml:space="preserve"> figure5</w:t>
      </w:r>
    </w:p>
    <w:p>
      <w:pPr>
        <w:spacing w:line="480" w:lineRule="auto"/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>Flow cytometry analysis of the immune microenvironment in tumor tissue and tumor draining lymph node</w:t>
      </w:r>
    </w:p>
    <w:p>
      <w:pPr>
        <w:spacing w:line="480" w:lineRule="auto"/>
      </w:pP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>(A)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 The gating strategy shown for a representative CD45+CD3+CD8+ stained cells excluding debris, dead cells, and doublets in tumor.</w:t>
      </w:r>
      <w:r>
        <w:rPr>
          <w:rFonts w:hint="eastAsia" w:ascii="Times New Roman" w:hAnsi="Times New Roman" w:eastAsia="等线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>(B)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 The gating strategy shown for a representative CD45+CD11c+MHC-II+ stained cells excluding debris, dead cells, and doublets in tumor draining lymph node.</w:t>
      </w:r>
      <w:r>
        <w:rPr>
          <w:rFonts w:hint="eastAsia" w:ascii="Times New Roman" w:hAnsi="Times New Roman" w:eastAsia="等线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>(C)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 Overlay histograms of fluorescence intensities of CD86 gated on CD45+CD11c+MHC-II+ cells from tumor draining lymph node.</w:t>
      </w:r>
      <w:bookmarkEnd w:id="1"/>
    </w:p>
    <w:p>
      <w:pPr>
        <w:spacing w:line="480" w:lineRule="auto"/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bidi="ar"/>
        </w:rPr>
        <w:t>Supplementary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bidi="ar"/>
        </w:rPr>
        <w:t xml:space="preserve"> figure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 w:bidi="ar"/>
        </w:rPr>
        <w:t>6</w:t>
      </w:r>
    </w:p>
    <w:p>
      <w:pPr>
        <w:spacing w:line="480" w:lineRule="auto"/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 w:bidi="ar"/>
        </w:rPr>
        <w:t>T cell activation assay</w:t>
      </w:r>
    </w:p>
    <w:p>
      <w:pPr>
        <w:spacing w:line="480" w:lineRule="auto"/>
        <w:rPr>
          <w:rFonts w:ascii="Times New Roman" w:hAnsi="Times New Roman" w:eastAsia="等线" w:cs="Times New Roman"/>
          <w:b w:val="0"/>
          <w:bCs w:val="0"/>
          <w:sz w:val="24"/>
          <w:szCs w:val="24"/>
          <w:lang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bidi="ar"/>
        </w:rPr>
        <w:t>(A)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lang w:bidi="ar"/>
        </w:rPr>
        <w:t xml:space="preserve"> The gating strategy shown for a representative CD45+ CD8+ stained cells excluding debris, dead cells, and doublets in tumor. 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bidi="ar"/>
        </w:rPr>
        <w:t>(B)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lang w:bidi="ar"/>
        </w:rPr>
        <w:t xml:space="preserve"> Representative flow cytometry profiles of granzyme B, perforin and IFN-γin CD8+ T cells.</w:t>
      </w:r>
    </w:p>
    <w:p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等线" w:cs="Times New Roman"/>
          <w:sz w:val="24"/>
          <w:szCs w:val="24"/>
          <w:highlight w:val="none"/>
          <w:lang w:bidi="ar"/>
        </w:rPr>
      </w:pPr>
    </w:p>
    <w:p>
      <w:pPr>
        <w:numPr>
          <w:ilvl w:val="0"/>
          <w:numId w:val="0"/>
        </w:numPr>
        <w:spacing w:line="480" w:lineRule="auto"/>
        <w:rPr>
          <w:rFonts w:ascii="Times New Roman" w:hAnsi="Times New Roman" w:eastAsia="等线" w:cs="Times New Roman"/>
          <w:sz w:val="24"/>
          <w:szCs w:val="24"/>
          <w:lang w:bidi="ar"/>
        </w:rPr>
      </w:pPr>
    </w:p>
    <w:sectPr>
      <w:pgSz w:w="11906" w:h="16838"/>
      <w:pgMar w:top="1440" w:right="2880" w:bottom="1440" w:left="28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774A3FDE"/>
    <w:rsid w:val="0058435C"/>
    <w:rsid w:val="007B022C"/>
    <w:rsid w:val="00AF2DA4"/>
    <w:rsid w:val="00D2665C"/>
    <w:rsid w:val="37ED2EAA"/>
    <w:rsid w:val="47003CF5"/>
    <w:rsid w:val="70F4022E"/>
    <w:rsid w:val="774A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453</Words>
  <Characters>2341</Characters>
  <Lines>1</Lines>
  <Paragraphs>1</Paragraphs>
  <TotalTime>1</TotalTime>
  <ScaleCrop>false</ScaleCrop>
  <LinksUpToDate>false</LinksUpToDate>
  <CharactersWithSpaces>2776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2024-04-02T04:15:00Z</dcterms:created>
  <dc:creator>lcy</dc:creator>
  <cp:lastModifiedBy>lcy</cp:lastModifiedBy>
  <dcterms:modified xsi:type="dcterms:W3CDTF">2024-07-11T08:43:53Z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15280498BCED43A092D6F713E8F30E68_11</vt:lpwstr>
  </property>
</Properties>
</file>